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</w:pPr>
      <w:r>
        <w:rPr/>
        <w:t>Poštovani poslanici,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</w:pPr>
      <w:r>
        <w:rPr/>
        <w:t>Pišem vam u vezi sa aktuelnim nacrtom zakona o radu u parlamentu.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spacing w:line="276" w:lineRule="auto"/>
        <w:ind w:right="111"/>
      </w:pPr>
      <w:r>
        <w:rPr/>
        <w:t>Mreža Žena Kosova smatra da aktuelni nacrt zakona o radu, osim što isključuje svaki način uređenja porodiljskog odsustva, očevog odsustva i roditeljskog odsustva, on ne specifikuje diskriminaciju u kontekstu zapošljavanja. Ovaj nacrt zakona u svom aktualnom formatu ostavlja nezaštićene žene na tržištu rada i ima naglašeni nedostatak rodne perspektive između žena i muškaraca, naročito u kontestu zapošljavanja.</w:t>
      </w:r>
    </w:p>
    <w:p>
      <w:pPr>
        <w:pStyle w:val="BodyText"/>
        <w:spacing w:line="276" w:lineRule="auto" w:before="199"/>
        <w:ind w:right="113"/>
      </w:pPr>
      <w:r>
        <w:rPr/>
        <w:t>Polazeći iz ovog nespokojstva i u nadi da ćemo naići na vašu saradnju, mi tražimo od vas da uzmete u obzir naše dole navedene preporuke za amandamentiranje Zakona o Radu, tako da se razjasne odredbe o diskiriminaciji u radu, i da se takvi slučajevi obrađuju u okviru Zakona o Radu, odvojeno od Zakona br. 05/L – 021 o Zaštiti od diskriminacije.</w:t>
      </w:r>
    </w:p>
    <w:p>
      <w:pPr>
        <w:pStyle w:val="Heading1"/>
      </w:pPr>
      <w:r>
        <w:rPr>
          <w:u w:val="thick"/>
        </w:rPr>
        <w:t>Predlog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BodyText"/>
        <w:spacing w:line="276" w:lineRule="auto" w:before="1"/>
        <w:ind w:right="114"/>
      </w:pPr>
      <w:r>
        <w:rPr/>
        <w:t>Da se izvrši jedna logičnija odvojenost zakonskog okvira u pravcu obrađivanja aktualne ne usklađenosti zakonskog okvira koji postavlja razne definicije i sankcije, koje zasada doprinose konfuziji i zakonskoj nesigurnosti.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98" w:after="0"/>
        <w:ind w:left="820" w:right="116" w:hanging="360"/>
        <w:jc w:val="left"/>
        <w:rPr>
          <w:sz w:val="22"/>
        </w:rPr>
      </w:pPr>
      <w:r>
        <w:rPr>
          <w:sz w:val="22"/>
        </w:rPr>
        <w:t>Da se uzme u obzir izmena Zakona o Radu u smislu obrađivanja diskriminacije na specifičan način samo u kontestu zaposlenja, dodajući jedan član kao</w:t>
      </w:r>
      <w:r>
        <w:rPr>
          <w:spacing w:val="-11"/>
          <w:sz w:val="22"/>
        </w:rPr>
        <w:t> </w:t>
      </w:r>
      <w:r>
        <w:rPr>
          <w:sz w:val="22"/>
        </w:rPr>
        <w:t>sledeći:</w:t>
      </w:r>
    </w:p>
    <w:p>
      <w:pPr>
        <w:pStyle w:val="Heading1"/>
        <w:spacing w:before="203"/>
      </w:pPr>
      <w:r>
        <w:rPr/>
        <w:t>Član xx, Vrste diskriminacije na poslu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spacing w:before="1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1. Vrste nejednakog postupanja prema radnicima su: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BodyText"/>
        <w:spacing w:line="276" w:lineRule="auto"/>
        <w:ind w:right="111"/>
      </w:pPr>
      <w:r>
        <w:rPr>
          <w:b/>
        </w:rPr>
        <w:t>1. 1. </w:t>
      </w:r>
      <w:r>
        <w:rPr/>
        <w:t>Neposredna diskriminacija na poslu se smatra kada se prema </w:t>
      </w:r>
      <w:r>
        <w:rPr>
          <w:b/>
        </w:rPr>
        <w:t>jednom kandidatu za posao ili radniku </w:t>
      </w:r>
      <w:r>
        <w:rPr/>
        <w:t>postupa na malo više favorizovani način nego što se postupa, bilo je postupano ili će se postupiti prema jednom </w:t>
      </w:r>
      <w:r>
        <w:rPr>
          <w:b/>
        </w:rPr>
        <w:t>kandidatu </w:t>
      </w:r>
      <w:r>
        <w:rPr/>
        <w:t>za posao ili </w:t>
      </w:r>
      <w:r>
        <w:rPr>
          <w:b/>
        </w:rPr>
        <w:t>drugom radniku </w:t>
      </w:r>
      <w:r>
        <w:rPr/>
        <w:t>u jednoj upoređujućoj situaciji, po jednoj ili više osnova određenih u članu jedan (1) Zakona o Zaštiti od diskriminacije.</w:t>
      </w:r>
    </w:p>
    <w:p>
      <w:pPr>
        <w:pStyle w:val="BodyText"/>
        <w:spacing w:line="276" w:lineRule="auto" w:before="199"/>
        <w:ind w:right="111"/>
      </w:pPr>
      <w:r>
        <w:rPr>
          <w:b/>
        </w:rPr>
        <w:t>1. 2</w:t>
      </w:r>
      <w:r>
        <w:rPr/>
        <w:t>. Posredna diskriminacija se smatra kada se, jedna navodna nepristrasna odredba, kriterijum ili praksa postavlja, postavila je ili će postaviti </w:t>
      </w:r>
      <w:r>
        <w:rPr>
          <w:b/>
        </w:rPr>
        <w:t>kandidata za posao </w:t>
      </w:r>
      <w:r>
        <w:rPr/>
        <w:t>ili </w:t>
      </w:r>
      <w:r>
        <w:rPr>
          <w:b/>
        </w:rPr>
        <w:t>radnika </w:t>
      </w:r>
      <w:r>
        <w:rPr/>
        <w:t>na nejednaki položaj u odnosu na druge, po jednoj ili više osnova propisanih članom jedan (1) Zakona o Zaštiti od diskriminacije, osim u slučajevima kada se takva odredba, praksa</w:t>
      </w:r>
      <w:r>
        <w:rPr>
          <w:spacing w:val="25"/>
        </w:rPr>
        <w:t> </w:t>
      </w:r>
      <w:r>
        <w:rPr/>
        <w:t>ili kriterijum mogu obrazložiti u objektivnom pogledu sa nekim legitiminim ciljem, i sredstva za postizanje tog cilja su prikladna i</w:t>
      </w:r>
      <w:r>
        <w:rPr>
          <w:spacing w:val="-7"/>
        </w:rPr>
        <w:t> </w:t>
      </w:r>
      <w:r>
        <w:rPr/>
        <w:t>neophodna.</w:t>
      </w:r>
    </w:p>
    <w:p>
      <w:pPr>
        <w:pStyle w:val="BodyText"/>
        <w:spacing w:line="276" w:lineRule="auto" w:before="201"/>
        <w:ind w:right="112"/>
      </w:pPr>
      <w:r>
        <w:rPr>
          <w:b/>
        </w:rPr>
        <w:t>1. 3. </w:t>
      </w:r>
      <w:r>
        <w:rPr/>
        <w:t>Uznemiravanje se smatra diskriminacijom, kada jedno nepoželjno ponašanje (koje obuhvaća, ali se ne ograničava na nepoželjno ponašanje seksualne i /ili psihološke prirode, koje ima za cilj ili sledi povredom dostojanstva lica i stvaranja okruženja straha, degradiranja,</w:t>
      </w:r>
    </w:p>
    <w:p>
      <w:pPr>
        <w:spacing w:after="0" w:line="276" w:lineRule="auto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line="276" w:lineRule="auto" w:before="78"/>
        <w:ind w:right="117"/>
      </w:pPr>
      <w:r>
        <w:rPr/>
        <w:t>potcenjivanja ili uvrđivanja) na osnovama propisanim u članu jedan (1) Zakona o Zaštiti od diskriminacije.</w:t>
      </w:r>
    </w:p>
    <w:p>
      <w:pPr>
        <w:pStyle w:val="BodyText"/>
        <w:spacing w:line="276" w:lineRule="auto" w:before="201"/>
        <w:ind w:right="113"/>
      </w:pPr>
      <w:r>
        <w:rPr>
          <w:b/>
        </w:rPr>
        <w:t>1. 4. </w:t>
      </w:r>
      <w:r>
        <w:rPr/>
        <w:t>Podsticaj na diskriminaciu se smatra diskriminacijom na osnovama propisanima u članu jedan (1) Zakona o Zaštiti od diskriminacije, i obuhvaća svako promovisanje mržnje protiv </w:t>
      </w:r>
      <w:r>
        <w:rPr>
          <w:b/>
        </w:rPr>
        <w:t>kandidata za posao ili radnika </w:t>
      </w:r>
      <w:r>
        <w:rPr/>
        <w:t>kada se ista vrši namerno“.</w:t>
      </w:r>
    </w:p>
    <w:p>
      <w:pPr>
        <w:spacing w:before="190"/>
        <w:ind w:left="100" w:right="0" w:firstLine="0"/>
        <w:jc w:val="both"/>
        <w:rPr>
          <w:i/>
          <w:sz w:val="23"/>
        </w:rPr>
      </w:pPr>
      <w:r>
        <w:rPr>
          <w:i/>
          <w:sz w:val="23"/>
        </w:rPr>
        <w:t>U članu 5., Zabrana svih vrsta diskriminacije, da se doda stav koji specifikuje kao sledeće:</w:t>
      </w:r>
    </w:p>
    <w:p>
      <w:pPr>
        <w:spacing w:line="276" w:lineRule="auto" w:before="236"/>
        <w:ind w:left="100" w:right="113" w:firstLine="0"/>
        <w:jc w:val="both"/>
        <w:rPr>
          <w:sz w:val="22"/>
        </w:rPr>
      </w:pPr>
      <w:r>
        <w:rPr>
          <w:sz w:val="22"/>
        </w:rPr>
        <w:t>„Zabranjuje se neposredna ili posredna diskriminacija svih lica, muškaraca i žena, </w:t>
      </w:r>
      <w:r>
        <w:rPr>
          <w:b/>
          <w:sz w:val="22"/>
        </w:rPr>
        <w:t>tokom procedure zapošljavanja, unapređivanja na poslu i profesionalnog unapređivanja</w:t>
      </w:r>
      <w:r>
        <w:rPr>
          <w:sz w:val="22"/>
        </w:rPr>
        <w:t>, ako je za to radno mesto svaki sposoban da na adekvatan način obavi</w:t>
      </w:r>
      <w:r>
        <w:rPr>
          <w:spacing w:val="-15"/>
          <w:sz w:val="22"/>
        </w:rPr>
        <w:t> </w:t>
      </w:r>
      <w:r>
        <w:rPr>
          <w:sz w:val="22"/>
        </w:rPr>
        <w:t>posao“.</w:t>
      </w:r>
    </w:p>
    <w:p>
      <w:pPr>
        <w:pStyle w:val="Heading1"/>
      </w:pPr>
      <w:r>
        <w:rPr>
          <w:rFonts w:ascii="Times New Roman" w:hAnsi="Times New Roman"/>
          <w:b w:val="0"/>
          <w:spacing w:val="-56"/>
          <w:w w:val="100"/>
          <w:u w:val="thick"/>
        </w:rPr>
        <w:t> </w:t>
      </w:r>
      <w:r>
        <w:rPr>
          <w:u w:val="thick"/>
        </w:rPr>
        <w:t>Obrazloženje</w:t>
      </w:r>
    </w:p>
    <w:p>
      <w:pPr>
        <w:pStyle w:val="BodyText"/>
        <w:spacing w:before="10"/>
        <w:ind w:left="0"/>
        <w:jc w:val="left"/>
        <w:rPr>
          <w:b/>
          <w:sz w:val="19"/>
        </w:rPr>
      </w:pPr>
    </w:p>
    <w:p>
      <w:pPr>
        <w:pStyle w:val="BodyText"/>
        <w:spacing w:line="276" w:lineRule="auto"/>
        <w:ind w:right="116"/>
      </w:pPr>
      <w:r>
        <w:rPr/>
        <w:t>Razlaganje zaštite od diskriminacije, specifično u kontestu zapošljvanja, putem spominjanja, između ostalog, oblika diskriminacija, kao što su uznemiravanje, seksualno uznemiravanje i podsticaj na diskriminaciju; da se razlikuje neposredna diskriminacija od one posredne; i da se sprovode druge navedene osnove za diskriminaciju.</w:t>
      </w:r>
    </w:p>
    <w:p>
      <w:pPr>
        <w:pStyle w:val="BodyText"/>
        <w:spacing w:line="276" w:lineRule="auto" w:before="199"/>
        <w:ind w:right="113"/>
      </w:pPr>
      <w:r>
        <w:rPr/>
        <w:t>Aktualne odredbe Zakona o Radu koje se odnose na diskriminaciju su minimalističke. Iako se predviđa da se Zakon br. 05/L – 021 o Zaštiti od diskriminacije primeni na neposredan način u radnom odnosu, ipak, osim ove ukrštene preporuke treba da bude i jedna više detalizovana zaštita od diskriminacije, a specifično u kontestu zaposlenja. Jedini način kako se trenutno spominje neposredna i posredna diskriminacija u Zakonu o Radu, je prema licima sa ograničenim sposobnostima. Zakon ne sadrži druge specifične odredbe u vezi sa drugim uzrocima</w:t>
      </w:r>
      <w:r>
        <w:rPr>
          <w:spacing w:val="-2"/>
        </w:rPr>
        <w:t> </w:t>
      </w:r>
      <w:r>
        <w:rPr/>
        <w:t>diskriminacije.</w:t>
      </w:r>
    </w:p>
    <w:p>
      <w:pPr>
        <w:pStyle w:val="BodyText"/>
        <w:spacing w:line="276" w:lineRule="auto" w:before="201"/>
        <w:ind w:right="116"/>
      </w:pPr>
      <w:r>
        <w:rPr/>
        <w:t>Prema tome, potrebno je da se razlaže zaštita od diskriminacije specifično u kontestu zapošljavanja, putem spominjanja, između ostalog, oblika diskriminacije, kao što su uznemiravanje, seksualno uznemiravanje i podsticaj na diskriminaciju; da se razlikuje neposredna diskriminacija od one posredne; i da se sprovode druge navedene osnove za diskriminaciju.</w:t>
      </w:r>
    </w:p>
    <w:p>
      <w:pPr>
        <w:pStyle w:val="BodyText"/>
        <w:spacing w:before="201"/>
      </w:pPr>
      <w:r>
        <w:rPr/>
        <w:t>Nadamo se vašem razumevanju i saradnji,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</w:pPr>
      <w:r>
        <w:rPr/>
        <w:t>Iskreno,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</w:pPr>
      <w:r>
        <w:rPr/>
        <w:t>Mreža Žena Kosova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5"/>
        </w:rPr>
      </w:pPr>
    </w:p>
    <w:p>
      <w:pPr>
        <w:spacing w:line="264" w:lineRule="auto" w:before="0"/>
        <w:ind w:left="100" w:right="119" w:firstLine="0"/>
        <w:jc w:val="both"/>
        <w:rPr>
          <w:i/>
          <w:sz w:val="21"/>
        </w:rPr>
      </w:pPr>
      <w:r>
        <w:rPr>
          <w:i/>
          <w:sz w:val="21"/>
        </w:rPr>
        <w:t>Mreža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žena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Kosova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(MŽK)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je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jedna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mreža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od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više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od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143.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organizacija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žena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svih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etničkih</w:t>
      </w:r>
      <w:r>
        <w:rPr>
          <w:i/>
          <w:spacing w:val="-18"/>
          <w:sz w:val="21"/>
        </w:rPr>
        <w:t> </w:t>
      </w:r>
      <w:r>
        <w:rPr>
          <w:i/>
          <w:sz w:val="21"/>
        </w:rPr>
        <w:t>grupa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sa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celog Kosova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koja</w:t>
      </w:r>
      <w:r>
        <w:rPr>
          <w:i/>
          <w:spacing w:val="-35"/>
          <w:sz w:val="21"/>
        </w:rPr>
        <w:t> </w:t>
      </w:r>
      <w:r>
        <w:rPr>
          <w:i/>
          <w:sz w:val="21"/>
        </w:rPr>
        <w:t>zagovara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u</w:t>
      </w:r>
      <w:r>
        <w:rPr>
          <w:i/>
          <w:spacing w:val="-34"/>
          <w:sz w:val="21"/>
        </w:rPr>
        <w:t> </w:t>
      </w:r>
      <w:r>
        <w:rPr>
          <w:i/>
          <w:sz w:val="21"/>
        </w:rPr>
        <w:t>ime</w:t>
      </w:r>
      <w:r>
        <w:rPr>
          <w:i/>
          <w:spacing w:val="-35"/>
          <w:sz w:val="21"/>
        </w:rPr>
        <w:t> </w:t>
      </w:r>
      <w:r>
        <w:rPr>
          <w:i/>
          <w:sz w:val="21"/>
        </w:rPr>
        <w:t>kosovskih</w:t>
      </w:r>
      <w:r>
        <w:rPr>
          <w:i/>
          <w:spacing w:val="-34"/>
          <w:sz w:val="21"/>
        </w:rPr>
        <w:t> </w:t>
      </w:r>
      <w:r>
        <w:rPr>
          <w:i/>
          <w:sz w:val="21"/>
        </w:rPr>
        <w:t>žena,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na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nacionalnom,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regionalnom</w:t>
      </w:r>
      <w:r>
        <w:rPr>
          <w:i/>
          <w:spacing w:val="-35"/>
          <w:sz w:val="21"/>
        </w:rPr>
        <w:t> </w:t>
      </w:r>
      <w:r>
        <w:rPr>
          <w:i/>
          <w:sz w:val="21"/>
        </w:rPr>
        <w:t>i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međunarodnom</w:t>
      </w:r>
      <w:r>
        <w:rPr>
          <w:i/>
          <w:spacing w:val="-33"/>
          <w:sz w:val="21"/>
        </w:rPr>
        <w:t> </w:t>
      </w:r>
      <w:r>
        <w:rPr>
          <w:i/>
          <w:sz w:val="21"/>
        </w:rPr>
        <w:t>nivou.</w:t>
      </w:r>
      <w:r>
        <w:rPr>
          <w:i/>
          <w:spacing w:val="-34"/>
          <w:sz w:val="21"/>
        </w:rPr>
        <w:t> </w:t>
      </w:r>
      <w:r>
        <w:rPr>
          <w:i/>
          <w:sz w:val="21"/>
        </w:rPr>
        <w:t>Misija MŽK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je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fokusirana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na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ekonomsko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jačanje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žena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i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njihovu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ulogu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u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odlučivanju.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ahoma" w:hAnsi="Tahoma" w:eastAsia="Tahoma" w:cs="Tahoma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2"/>
      <w:ind w:left="100"/>
      <w:jc w:val="both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98"/>
      <w:ind w:left="820" w:right="116" w:hanging="360"/>
    </w:pPr>
    <w:rPr>
      <w:rFonts w:ascii="Tahoma" w:hAnsi="Tahoma" w:eastAsia="Tahoma" w:cs="Tahom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2019-07-02T14:14:24Z</dcterms:created>
  <dcterms:modified xsi:type="dcterms:W3CDTF">2019-07-02T14:14:24Z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2019-07-02T00:00:00Z</vt:filetime>
  </property>
</Properties>
</file>