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DA6" w14:textId="00F4E0B2" w:rsidR="00C1557D" w:rsidRPr="00DF6A9B" w:rsidRDefault="00E2616E" w:rsidP="00444668">
      <w:pPr>
        <w:jc w:val="center"/>
        <w:rPr>
          <w:rFonts w:ascii="RRGK Bold Display MT Pro" w:eastAsia="RRGK Book" w:hAnsi="RRGK Bold Display MT Pro" w:cs="Tahoma"/>
          <w:b/>
          <w:bCs/>
          <w:color w:val="000000" w:themeColor="text1"/>
          <w:sz w:val="28"/>
          <w:szCs w:val="28"/>
          <w:lang w:val="sq-AL"/>
        </w:rPr>
      </w:pPr>
      <w:r w:rsidRPr="00DF6A9B">
        <w:rPr>
          <w:rFonts w:ascii="RRGK Bold Display MT Pro" w:eastAsia="RRGK Book" w:hAnsi="RRGK Bold Display MT Pro" w:cs="Tahoma"/>
          <w:b/>
          <w:bCs/>
          <w:color w:val="000000" w:themeColor="text1"/>
          <w:sz w:val="28"/>
          <w:szCs w:val="28"/>
          <w:lang w:val="sq-AL"/>
        </w:rPr>
        <w:t>Drejt institucionalizimit të buxheti</w:t>
      </w:r>
      <w:r w:rsidR="007214EC" w:rsidRPr="00DF6A9B">
        <w:rPr>
          <w:rFonts w:ascii="RRGK Bold Display MT Pro" w:eastAsia="RRGK Book" w:hAnsi="RRGK Bold Display MT Pro" w:cs="Tahoma"/>
          <w:b/>
          <w:bCs/>
          <w:color w:val="000000" w:themeColor="text1"/>
          <w:sz w:val="28"/>
          <w:szCs w:val="28"/>
          <w:lang w:val="sq-AL"/>
        </w:rPr>
        <w:t>mit</w:t>
      </w:r>
      <w:r w:rsidRPr="00DF6A9B">
        <w:rPr>
          <w:rFonts w:ascii="RRGK Bold Display MT Pro" w:eastAsia="RRGK Book" w:hAnsi="RRGK Bold Display MT Pro" w:cs="Tahoma"/>
          <w:b/>
          <w:bCs/>
          <w:color w:val="000000" w:themeColor="text1"/>
          <w:sz w:val="28"/>
          <w:szCs w:val="28"/>
          <w:lang w:val="sq-AL"/>
        </w:rPr>
        <w:t xml:space="preserve"> të përgjegjshëm gjinor dhe një buxheti më të përgjegjshëm gjinor</w:t>
      </w:r>
      <w:r w:rsidR="008558F5" w:rsidRPr="00DF6A9B">
        <w:rPr>
          <w:rFonts w:ascii="RRGK Bold Display MT Pro" w:eastAsia="RRGK Book" w:hAnsi="RRGK Bold Display MT Pro" w:cs="Tahoma"/>
          <w:b/>
          <w:bCs/>
          <w:color w:val="000000" w:themeColor="text1"/>
          <w:sz w:val="28"/>
          <w:szCs w:val="28"/>
          <w:lang w:val="sq-AL"/>
        </w:rPr>
        <w:t xml:space="preserve"> </w:t>
      </w:r>
      <w:r w:rsidRPr="00DF6A9B">
        <w:rPr>
          <w:rFonts w:ascii="RRGK Bold Display MT Pro" w:eastAsia="RRGK Book" w:hAnsi="RRGK Bold Display MT Pro" w:cs="Tahoma"/>
          <w:b/>
          <w:bCs/>
          <w:color w:val="000000" w:themeColor="text1"/>
          <w:sz w:val="28"/>
          <w:szCs w:val="28"/>
          <w:lang w:val="sq-AL"/>
        </w:rPr>
        <w:t>për vitin 2024</w:t>
      </w:r>
      <w:r w:rsidR="008558F5" w:rsidRPr="00DF6A9B">
        <w:rPr>
          <w:rFonts w:ascii="RRGK Bold Display MT Pro" w:eastAsia="RRGK Book" w:hAnsi="RRGK Bold Display MT Pro" w:cs="Tahoma"/>
          <w:b/>
          <w:bCs/>
          <w:color w:val="000000" w:themeColor="text1"/>
          <w:sz w:val="28"/>
          <w:szCs w:val="28"/>
          <w:lang w:val="sq-AL"/>
        </w:rPr>
        <w:t xml:space="preserve"> për Kosovën</w:t>
      </w:r>
    </w:p>
    <w:p w14:paraId="4789E339" w14:textId="5184F0E1" w:rsidR="00C1557D" w:rsidRPr="00DF6A9B" w:rsidRDefault="71EE72B3" w:rsidP="00143BEF">
      <w:pPr>
        <w:pStyle w:val="Heading1"/>
        <w:rPr>
          <w:rFonts w:ascii="RRGK Bold Display MT Pro" w:hAnsi="RRGK Bold Display MT Pro"/>
        </w:rPr>
      </w:pPr>
      <w:r w:rsidRPr="00DF6A9B">
        <w:rPr>
          <w:rFonts w:ascii="RRGK Bold Display MT Pro" w:hAnsi="RRGK Bold Display MT Pro"/>
        </w:rPr>
        <w:t>Hyrje</w:t>
      </w:r>
      <w:r w:rsidR="009F061E" w:rsidRPr="00DF6A9B">
        <w:rPr>
          <w:rStyle w:val="FootnoteReference"/>
          <w:rFonts w:ascii="RRGK Bold Display MT Pro" w:hAnsi="RRGK Bold Display MT Pro"/>
        </w:rPr>
        <w:footnoteReference w:id="2"/>
      </w:r>
    </w:p>
    <w:p w14:paraId="5D43D1C2" w14:textId="37F3D6F3" w:rsidR="00C40E34" w:rsidRPr="00DF6A9B" w:rsidRDefault="00C40E34" w:rsidP="00BA1B51">
      <w:pPr>
        <w:ind w:firstLine="720"/>
        <w:rPr>
          <w:rFonts w:ascii="RRGK Book" w:eastAsia="RRGK Book" w:hAnsi="RRGK Book" w:cs="Tahoma"/>
          <w:color w:val="000000" w:themeColor="text1"/>
          <w:lang w:val="sq-AL"/>
        </w:rPr>
      </w:pPr>
      <w:r w:rsidRPr="00DF6A9B">
        <w:rPr>
          <w:rFonts w:ascii="RRGK Book" w:eastAsia="RRGK Book" w:hAnsi="RRGK Book" w:cs="Tahoma"/>
          <w:color w:val="000000" w:themeColor="text1"/>
          <w:lang w:val="sq-AL"/>
        </w:rPr>
        <w:t>Buxhetimi i përgjegjshëm gjinor (BPGJ) siguron që fondet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të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buxhetohen dhe shpenzohen drejt adresimit të nevojave potencialisht të ndryshme të grave, burrave, djemve dhe vajzave, siç identifikohen përmes analizës gjinore. Sipas </w:t>
      </w:r>
      <w:hyperlink r:id="rId8" w:history="1">
        <w:r w:rsidRPr="00DF6A9B">
          <w:rPr>
            <w:rStyle w:val="Hyperlink"/>
            <w:rFonts w:ascii="RRGK Book" w:eastAsia="RRGK Book" w:hAnsi="RRGK Book" w:cs="Tahoma"/>
            <w:lang w:val="sq-AL"/>
          </w:rPr>
          <w:t>Ligjit të Kosovës Nr. 05/L-020 për Barazi Gjinore (LBGJ</w:t>
        </w:r>
      </w:hyperlink>
      <w:r w:rsidR="005835ED" w:rsidRPr="00DF6A9B">
        <w:rPr>
          <w:rFonts w:ascii="RRGK Book" w:eastAsia="RRGK Book" w:hAnsi="RRGK Book" w:cs="Tahoma"/>
          <w:color w:val="000000" w:themeColor="text1"/>
          <w:lang w:val="sq-AL"/>
        </w:rPr>
        <w:t>)</w:t>
      </w:r>
      <w:r w:rsidR="00E2165B" w:rsidRPr="00DF6A9B">
        <w:rPr>
          <w:rFonts w:ascii="RRGK Book" w:eastAsia="RRGK Book" w:hAnsi="RRGK Book" w:cs="Tahoma"/>
          <w:color w:val="000000" w:themeColor="text1"/>
          <w:lang w:val="sq-AL"/>
        </w:rPr>
        <w:t>,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BPGJ është 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>i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detyruesh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>ë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m për të gjitha institucionet publike, duke përfshirë komunat, ministritë dhe organizatat tjera buxhetore. Moszbatimi i BPGJ, siç parashihet me këtë ligj, përbën 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një 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>kundërvajtje ligjore dhe i nënshtrohet sanksioneve.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Qeveria ka interes në zbatimin e buxhetimit gjinor në kontekstin e angazhimeve të saj ndaj </w:t>
      </w:r>
      <w:hyperlink r:id="rId9" w:history="1">
        <w:r w:rsidRPr="00DF6A9B">
          <w:rPr>
            <w:rStyle w:val="Hyperlink"/>
            <w:rFonts w:ascii="RRGK Book" w:eastAsia="RRGK Book" w:hAnsi="RRGK Book" w:cs="Tahoma"/>
            <w:lang w:val="sq-AL"/>
          </w:rPr>
          <w:t>Objektivave të Zhvillimit të Qëndrueshëm të OKB-së (</w:t>
        </w:r>
        <w:r w:rsidR="005835ED" w:rsidRPr="00DF6A9B">
          <w:rPr>
            <w:rStyle w:val="Hyperlink"/>
            <w:rFonts w:ascii="RRGK Book" w:eastAsia="RRGK Book" w:hAnsi="RRGK Book" w:cs="Tahoma"/>
            <w:lang w:val="sq-AL"/>
          </w:rPr>
          <w:t>OZHQ</w:t>
        </w:r>
        <w:r w:rsidRPr="00DF6A9B">
          <w:rPr>
            <w:rStyle w:val="Hyperlink"/>
            <w:rFonts w:ascii="RRGK Book" w:eastAsia="RRGK Book" w:hAnsi="RRGK Book" w:cs="Tahoma"/>
            <w:lang w:val="sq-AL"/>
          </w:rPr>
          <w:t>),</w:t>
        </w:r>
      </w:hyperlink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pikërisht </w:t>
      </w:r>
      <w:hyperlink r:id="rId10" w:history="1">
        <w:r w:rsidR="005835ED" w:rsidRPr="00DF6A9B">
          <w:rPr>
            <w:rStyle w:val="Hyperlink"/>
            <w:rFonts w:ascii="RRGK Book" w:eastAsia="RRGK Book" w:hAnsi="RRGK Book" w:cs="Tahoma"/>
            <w:lang w:val="sq-AL"/>
          </w:rPr>
          <w:t>OZHQ</w:t>
        </w:r>
        <w:r w:rsidRPr="00DF6A9B">
          <w:rPr>
            <w:rStyle w:val="Hyperlink"/>
            <w:rFonts w:ascii="RRGK Book" w:eastAsia="RRGK Book" w:hAnsi="RRGK Book" w:cs="Tahoma"/>
            <w:lang w:val="sq-AL"/>
          </w:rPr>
          <w:t xml:space="preserve"> 5, treguesi 5.c.1</w:t>
        </w:r>
      </w:hyperlink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; </w:t>
      </w:r>
      <w:r w:rsidRPr="00DF6A9B">
        <w:rPr>
          <w:rFonts w:ascii="RRGK Book" w:eastAsia="RRGK Book" w:hAnsi="RRGK Book" w:cs="Tahoma"/>
          <w:lang w:val="sq-AL"/>
        </w:rPr>
        <w:t>Plani</w:t>
      </w:r>
      <w:r w:rsidR="007214EC" w:rsidRPr="00DF6A9B">
        <w:rPr>
          <w:rFonts w:ascii="RRGK Book" w:eastAsia="RRGK Book" w:hAnsi="RRGK Book" w:cs="Tahoma"/>
          <w:lang w:val="sq-AL"/>
        </w:rPr>
        <w:t xml:space="preserve">t të 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Veprimit Gjinor </w:t>
      </w:r>
      <w:r w:rsidR="007214EC" w:rsidRPr="00DF6A9B">
        <w:rPr>
          <w:rFonts w:ascii="RRGK Book" w:eastAsia="RRGK Book" w:hAnsi="RRGK Book" w:cs="Tahoma"/>
          <w:color w:val="000000" w:themeColor="text1"/>
          <w:lang w:val="sq-AL"/>
        </w:rPr>
        <w:t>i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BE-së (GAP) III; Korniz</w:t>
      </w:r>
      <w:r w:rsidR="007214EC" w:rsidRPr="00DF6A9B">
        <w:rPr>
          <w:rFonts w:ascii="RRGK Book" w:eastAsia="RRGK Book" w:hAnsi="RRGK Book" w:cs="Tahoma"/>
          <w:color w:val="000000" w:themeColor="text1"/>
          <w:lang w:val="sq-AL"/>
        </w:rPr>
        <w:t>ës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Suplementare të 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>Shpenzime</w:t>
      </w:r>
      <w:r w:rsidR="007214EC" w:rsidRPr="00DF6A9B">
        <w:rPr>
          <w:rFonts w:ascii="RRGK Book" w:eastAsia="RRGK Book" w:hAnsi="RRGK Book" w:cs="Tahoma"/>
          <w:color w:val="000000" w:themeColor="text1"/>
          <w:lang w:val="sq-AL"/>
        </w:rPr>
        <w:t>ve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Publike dhe Llogaridhëni</w:t>
      </w:r>
      <w:r w:rsidR="007214EC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s 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>Financiare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</w:t>
      </w:r>
      <w:hyperlink r:id="rId11" w:history="1">
        <w:r w:rsidRPr="00DF6A9B">
          <w:rPr>
            <w:rStyle w:val="Hyperlink"/>
            <w:rFonts w:ascii="RRGK Book" w:eastAsia="RRGK Book" w:hAnsi="RRGK Book" w:cs="Tahoma"/>
            <w:lang w:val="sq-AL"/>
          </w:rPr>
          <w:t>(PEFA)</w:t>
        </w:r>
      </w:hyperlink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për vlerësimin e menaxhimit të financave publike të përgjegjshme gjinore </w:t>
      </w:r>
      <w:hyperlink r:id="rId12" w:history="1">
        <w:r w:rsidRPr="00DF6A9B">
          <w:rPr>
            <w:rStyle w:val="Hyperlink"/>
            <w:rFonts w:ascii="RRGK Book" w:eastAsia="RRGK Book" w:hAnsi="RRGK Book" w:cs="Tahoma"/>
            <w:lang w:val="sq-AL"/>
          </w:rPr>
          <w:t>(GPPPM)</w:t>
        </w:r>
      </w:hyperlink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në kontekstin e reformave të vazhdueshme të financave publike; dhe më e rëndësishmja, si një praktikë më e mirë në menaxhimin financiar.</w:t>
      </w:r>
      <w:r w:rsidR="00BA1B51" w:rsidRPr="00DF6A9B">
        <w:rPr>
          <w:rFonts w:ascii="RRGK Book" w:hAnsi="RRGK Book" w:cs="Tahoma"/>
          <w:lang w:val="sq-AL"/>
        </w:rPr>
        <w:t xml:space="preserve"> </w:t>
      </w:r>
      <w:r w:rsidR="00BA1B51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Në </w:t>
      </w:r>
      <w:hyperlink r:id="rId13" w:history="1">
        <w:r w:rsidR="00BA1B51" w:rsidRPr="00DF6A9B">
          <w:rPr>
            <w:rStyle w:val="Hyperlink"/>
            <w:rFonts w:ascii="RRGK Book" w:eastAsia="RRGK Book" w:hAnsi="RRGK Book" w:cs="Tahoma"/>
            <w:lang w:val="sq-AL"/>
          </w:rPr>
          <w:t>Planin e Qeverisë për vitin 2021-2025</w:t>
        </w:r>
      </w:hyperlink>
      <w:r w:rsidR="00BA1B51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, Qeveria është zotuar që do të kryejë vlerësime të ndikimit gjinor në formulimin </w:t>
      </w:r>
      <w:r w:rsidR="00E2165B" w:rsidRPr="00DF6A9B">
        <w:rPr>
          <w:rFonts w:ascii="RRGK Book" w:eastAsia="RRGK Book" w:hAnsi="RRGK Book" w:cs="Tahoma"/>
          <w:color w:val="000000" w:themeColor="text1"/>
          <w:lang w:val="sq-AL"/>
        </w:rPr>
        <w:t>të</w:t>
      </w:r>
      <w:r w:rsidR="00BA1B51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politikave e reja që të sigurohet një vendimmarrje e informuar në zhvillimin e politikave që janë të lidhura me gjininë dhe është theksuar angazhimi i Qeverisë për avancimin e politikave buxhetore të përgjegjshme gjinore.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Më tej, Ministria e Financave, Punës dhe Transfereve, përmes qarkores buxhetore, ka kërkuar përfshirjen e BPGJ-së në kërkesat e ndarjes buxhetore për vitin 2024, si për organet e pushtetit 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>lokal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ashtu edhe për atë qendror. Kosova funksionon në kushte të mungesës</w:t>
      </w:r>
      <w:r w:rsidR="00D9693E"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së fondeve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>, kështu që çdo shpenzim duhet të ndahet në mënyrë strategjike për të adresuar nevojat më urgjente për mirëqenien e njerëzve. Zbatimi i BPGJ-së mund të kontribuojë në shpenzime më efektive, efikase, të përgjegjshme dhe transparente të burimeve qeveritare, duke përfshirë edhe arritjen e barazisë gjinore.</w:t>
      </w:r>
    </w:p>
    <w:p w14:paraId="06C820C9" w14:textId="6DEB62ED" w:rsidR="008B6F27" w:rsidRPr="00DF6A9B" w:rsidRDefault="465EF160" w:rsidP="465EF160">
      <w:pPr>
        <w:ind w:firstLine="720"/>
        <w:rPr>
          <w:rFonts w:ascii="RRGK Book" w:eastAsia="Tahoma" w:hAnsi="RRGK Book" w:cs="Tahoma"/>
          <w:lang w:val="sq"/>
        </w:rPr>
      </w:pP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Veçanërisht, Qeveria duhet të përfshijë zyrtarët për barazi gjinore nga subjektet qeveritare dhe organizatat e shoqërisë civile në konsultimet publike që kanë të bëjnë me buxhetin, siç është mandatuar me Ligjin </w:t>
      </w:r>
      <w:hyperlink r:id="rId14">
        <w:r w:rsidRPr="00DF6A9B">
          <w:rPr>
            <w:rStyle w:val="Hyperlink"/>
            <w:rFonts w:ascii="RRGK Book" w:eastAsia="RRGK Book" w:hAnsi="RRGK Book" w:cs="Tahoma"/>
            <w:lang w:val="sq-AL"/>
          </w:rPr>
          <w:t>03/L-048</w:t>
        </w:r>
      </w:hyperlink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për Menaxhimin e Financave Publike dhe Përgjegjësive. </w:t>
      </w:r>
      <w:r w:rsidRPr="00DF6A9B">
        <w:rPr>
          <w:rFonts w:ascii="RRGK Book" w:eastAsia="Tahoma" w:hAnsi="RRGK Book" w:cs="Tahoma"/>
          <w:color w:val="000000" w:themeColor="text1"/>
          <w:lang w:val="sq"/>
        </w:rPr>
        <w:t>Për të mbështetur Qeverinë e Kosovës në zbatimin e përgjegjësive dhe zotimeve të saj. Kjo përmbledhje rekomandon reformat e nevojshme drejt institucionalizimit të BPGJ-së në Kosovë dhe për të informuar Ligjin për Buxhetimin për vitin 2024.</w:t>
      </w:r>
      <w:r w:rsidRPr="00DF6A9B">
        <w:rPr>
          <w:rFonts w:ascii="RRGK Book" w:eastAsia="RRGK Book" w:hAnsi="RRGK Book" w:cs="Tahoma"/>
          <w:color w:val="000000" w:themeColor="text1"/>
          <w:lang w:val="sq-AL"/>
        </w:rPr>
        <w:t xml:space="preserve"> </w:t>
      </w:r>
      <w:r w:rsidRPr="00DF6A9B">
        <w:rPr>
          <w:rFonts w:ascii="RRGK Book" w:eastAsia="Tahoma" w:hAnsi="RRGK Book" w:cs="Tahoma"/>
          <w:lang w:val="sq"/>
        </w:rPr>
        <w:t>Rekomandimet në vazhdim bazohen në hulumtim dhe në informata të evidentuara për të adresuar nevojat e ndryshme të grave dhe burrave, drejt avancimit të barazisë gjinore në Kosovë.</w:t>
      </w:r>
    </w:p>
    <w:p w14:paraId="7A3F1501" w14:textId="77777777" w:rsidR="004D4E13" w:rsidRPr="00DF6A9B" w:rsidRDefault="004D4E13" w:rsidP="465EF160">
      <w:pPr>
        <w:ind w:firstLine="720"/>
        <w:rPr>
          <w:rFonts w:ascii="RRGK Book" w:eastAsia="Tahoma" w:hAnsi="RRGK Book" w:cs="Tahoma"/>
          <w:lang w:val="sq-AL"/>
        </w:rPr>
      </w:pPr>
    </w:p>
    <w:p w14:paraId="0ADFD180" w14:textId="6D9166CA" w:rsidR="008B6F27" w:rsidRPr="00DF6A9B" w:rsidRDefault="008B6F27" w:rsidP="00143BEF">
      <w:pPr>
        <w:pStyle w:val="Heading1"/>
        <w:rPr>
          <w:rFonts w:ascii="RRGK Display MT Pro ExtBd" w:hAnsi="RRGK Display MT Pro ExtBd"/>
        </w:rPr>
      </w:pPr>
      <w:r w:rsidRPr="00DF6A9B">
        <w:rPr>
          <w:rFonts w:ascii="RRGK Display MT Pro ExtBd" w:hAnsi="RRGK Display MT Pro ExtBd"/>
        </w:rPr>
        <w:t>REKOMANDIMET</w:t>
      </w:r>
    </w:p>
    <w:p w14:paraId="1B81AD11" w14:textId="77777777" w:rsidR="008B6F27" w:rsidRPr="00DF6A9B" w:rsidRDefault="008B6F27" w:rsidP="008B6F27">
      <w:pPr>
        <w:rPr>
          <w:rFonts w:ascii="RRGK Book" w:hAnsi="RRGK Book" w:cs="Tahoma"/>
          <w:lang w:val="sq-AL"/>
        </w:rPr>
      </w:pPr>
    </w:p>
    <w:p w14:paraId="4774DF16" w14:textId="7DF92932" w:rsidR="008B6F27" w:rsidRPr="00DF6A9B" w:rsidRDefault="008B6F27" w:rsidP="008B6F27">
      <w:pPr>
        <w:pStyle w:val="ListParagraph"/>
        <w:numPr>
          <w:ilvl w:val="0"/>
          <w:numId w:val="5"/>
        </w:numPr>
        <w:rPr>
          <w:rFonts w:eastAsia="RRGK Book" w:cs="Tahoma"/>
          <w:b/>
          <w:color w:val="000000" w:themeColor="text1"/>
          <w:lang w:val="sq-AL"/>
        </w:rPr>
      </w:pPr>
      <w:r w:rsidRPr="00DF6A9B">
        <w:rPr>
          <w:rFonts w:eastAsia="RRGK Book" w:cs="Tahoma"/>
          <w:b/>
          <w:color w:val="000000" w:themeColor="text1"/>
          <w:lang w:val="sq-AL"/>
        </w:rPr>
        <w:t>Institucionalizimi i BPGJ-së në përputhje me zotimet ligjore dhe praktikat më të mira ndërkombëtare</w:t>
      </w:r>
    </w:p>
    <w:p w14:paraId="336BE3F8" w14:textId="41BA02BA" w:rsidR="008B6F27" w:rsidRPr="00DF6A9B" w:rsidRDefault="00E821ED" w:rsidP="008B6F27">
      <w:pPr>
        <w:pStyle w:val="ListParagraph"/>
        <w:numPr>
          <w:ilvl w:val="0"/>
          <w:numId w:val="4"/>
        </w:numPr>
        <w:rPr>
          <w:rFonts w:eastAsia="RRGK Book" w:cs="Tahoma"/>
          <w:color w:val="000000" w:themeColor="text1"/>
          <w:lang w:val="sq-AL"/>
        </w:rPr>
      </w:pPr>
      <w:r w:rsidRPr="00DF6A9B">
        <w:rPr>
          <w:rFonts w:eastAsia="RRGK Book" w:cs="Tahoma"/>
          <w:color w:val="000000" w:themeColor="text1"/>
          <w:lang w:val="sq-AL"/>
        </w:rPr>
        <w:lastRenderedPageBreak/>
        <w:t xml:space="preserve">Të finalizohet </w:t>
      </w:r>
      <w:r w:rsidR="008B6F27" w:rsidRPr="00DF6A9B">
        <w:rPr>
          <w:rFonts w:eastAsia="RRGK Book" w:cs="Tahoma"/>
          <w:color w:val="000000" w:themeColor="text1"/>
          <w:lang w:val="sq-AL"/>
        </w:rPr>
        <w:t>dhe mirat</w:t>
      </w:r>
      <w:r w:rsidRPr="00DF6A9B">
        <w:rPr>
          <w:rFonts w:eastAsia="RRGK Book" w:cs="Tahoma"/>
          <w:color w:val="000000" w:themeColor="text1"/>
          <w:lang w:val="sq-AL"/>
        </w:rPr>
        <w:t>ohet</w:t>
      </w:r>
      <w:r w:rsidR="008B6F27" w:rsidRPr="00DF6A9B">
        <w:rPr>
          <w:rFonts w:eastAsia="RRGK Book" w:cs="Tahoma"/>
          <w:color w:val="000000" w:themeColor="text1"/>
          <w:lang w:val="sq-AL"/>
        </w:rPr>
        <w:t xml:space="preserve"> legjislacioni që institucionalizon BPGJ-në në </w:t>
      </w:r>
      <w:r w:rsidR="00BE6B32" w:rsidRPr="00DF6A9B">
        <w:rPr>
          <w:rFonts w:eastAsia="RRGK Book" w:cs="Tahoma"/>
          <w:color w:val="000000" w:themeColor="text1"/>
          <w:lang w:val="sq-AL"/>
        </w:rPr>
        <w:t>dokumentet e brendshme</w:t>
      </w:r>
      <w:r w:rsidR="008B6F27" w:rsidRPr="00DF6A9B">
        <w:rPr>
          <w:rFonts w:eastAsia="RRGK Book" w:cs="Tahoma"/>
          <w:color w:val="000000" w:themeColor="text1"/>
          <w:lang w:val="sq-AL"/>
        </w:rPr>
        <w:t xml:space="preserve"> dhe sistemet e të gjitha organizatave buxhetore, jo si ligj më vete, </w:t>
      </w:r>
      <w:r w:rsidR="008B6F27" w:rsidRPr="00DF6A9B">
        <w:rPr>
          <w:rFonts w:eastAsia="RRGK Book" w:cs="Tahoma"/>
          <w:b/>
          <w:color w:val="000000" w:themeColor="text1"/>
          <w:lang w:val="sq-AL"/>
        </w:rPr>
        <w:t>por si pjesë e sistemit ekzistues të menaxhimit të financave publike, duke institucionalizuar BPGJ-në</w:t>
      </w:r>
      <w:r w:rsidR="008B6F27" w:rsidRPr="00DF6A9B">
        <w:rPr>
          <w:rFonts w:eastAsia="RRGK Book" w:cs="Tahoma"/>
          <w:color w:val="000000" w:themeColor="text1"/>
          <w:lang w:val="sq-AL"/>
        </w:rPr>
        <w:t xml:space="preserve"> si pjesë e reformave të vazhdueshme të administratës publike dhe menaxhimit të financave publike, në përputhje me LBGJ, PEFA GRPFM, OKB OZHQ 5.c.1, dhe EU GAP III. </w:t>
      </w:r>
      <w:r w:rsidRPr="00DF6A9B">
        <w:rPr>
          <w:rFonts w:eastAsia="RRGK Book" w:cs="Tahoma"/>
          <w:color w:val="000000" w:themeColor="text1"/>
          <w:lang w:val="sq-AL"/>
        </w:rPr>
        <w:t>T</w:t>
      </w:r>
      <w:r w:rsidR="00BE6B32" w:rsidRPr="00DF6A9B">
        <w:rPr>
          <w:rFonts w:eastAsia="RRGK Book" w:cs="Tahoma"/>
          <w:color w:val="000000" w:themeColor="text1"/>
          <w:lang w:val="sq-AL"/>
        </w:rPr>
        <w:t>utje, t</w:t>
      </w:r>
      <w:r w:rsidRPr="00DF6A9B">
        <w:rPr>
          <w:rFonts w:eastAsia="RRGK Book" w:cs="Tahoma"/>
          <w:color w:val="000000" w:themeColor="text1"/>
          <w:lang w:val="sq-AL"/>
        </w:rPr>
        <w:t>ë p</w:t>
      </w:r>
      <w:r w:rsidR="008B6F27" w:rsidRPr="00DF6A9B">
        <w:rPr>
          <w:rFonts w:eastAsia="RRGK Book" w:cs="Tahoma"/>
          <w:color w:val="000000" w:themeColor="text1"/>
          <w:lang w:val="sq-AL"/>
        </w:rPr>
        <w:t>ërfsh</w:t>
      </w:r>
      <w:r w:rsidRPr="00DF6A9B">
        <w:rPr>
          <w:rFonts w:eastAsia="RRGK Book" w:cs="Tahoma"/>
          <w:color w:val="000000" w:themeColor="text1"/>
          <w:lang w:val="sq-AL"/>
        </w:rPr>
        <w:t>ihen</w:t>
      </w:r>
      <w:r w:rsidR="008B6F27" w:rsidRPr="00DF6A9B">
        <w:rPr>
          <w:rFonts w:eastAsia="RRGK Book" w:cs="Tahoma"/>
          <w:color w:val="000000" w:themeColor="text1"/>
          <w:lang w:val="sq-AL"/>
        </w:rPr>
        <w:t xml:space="preserve"> organizatat për të drejtat e grave me përvojë në BPGJ, si</w:t>
      </w:r>
      <w:r w:rsidRPr="00DF6A9B">
        <w:rPr>
          <w:rFonts w:eastAsia="RRGK Book" w:cs="Tahoma"/>
          <w:color w:val="000000" w:themeColor="text1"/>
          <w:lang w:val="sq-AL"/>
        </w:rPr>
        <w:t>kurse</w:t>
      </w:r>
      <w:r w:rsidR="008B6F27" w:rsidRPr="00DF6A9B">
        <w:rPr>
          <w:rFonts w:eastAsia="RRGK Book" w:cs="Tahoma"/>
          <w:color w:val="000000" w:themeColor="text1"/>
          <w:lang w:val="sq-AL"/>
        </w:rPr>
        <w:t xml:space="preserve"> RrGK, si pjesë e grupit zyrtar të punës për të mbështetur procesin dhe për të siguruar që reformat të jenë në përputhje me praktikat më të mira ndërkombëtare të BPGJ-së.</w:t>
      </w:r>
    </w:p>
    <w:p w14:paraId="18076CBE" w14:textId="3A005983" w:rsidR="00023CE1" w:rsidRPr="00DF6A9B" w:rsidRDefault="00023CE1" w:rsidP="008B6F27">
      <w:pPr>
        <w:pStyle w:val="ListParagraph"/>
        <w:numPr>
          <w:ilvl w:val="0"/>
          <w:numId w:val="4"/>
        </w:numPr>
        <w:rPr>
          <w:rFonts w:eastAsia="RRGK Book" w:cs="Tahoma"/>
          <w:color w:val="000000" w:themeColor="text1"/>
          <w:lang w:val="sq-AL"/>
        </w:rPr>
      </w:pPr>
      <w:r w:rsidRPr="00DF6A9B">
        <w:rPr>
          <w:rFonts w:eastAsia="RRGK Book" w:cs="Tahoma"/>
          <w:color w:val="000000" w:themeColor="text1"/>
          <w:lang w:val="sq-AL"/>
        </w:rPr>
        <w:t xml:space="preserve">Qarkoret buxhetore duhet të theksojnë </w:t>
      </w:r>
      <w:hyperlink r:id="rId15" w:history="1">
        <w:r w:rsidRPr="00DF6A9B">
          <w:rPr>
            <w:rStyle w:val="Hyperlink"/>
            <w:rFonts w:eastAsia="RRGK Book" w:cs="Tahoma"/>
            <w:lang w:val="sq-AL"/>
          </w:rPr>
          <w:t>rëndësinë e kryerjes së vlerësimit ex ante</w:t>
        </w:r>
      </w:hyperlink>
      <w:r w:rsidRPr="00DF6A9B">
        <w:rPr>
          <w:rFonts w:eastAsia="RRGK Book" w:cs="Tahoma"/>
          <w:color w:val="000000" w:themeColor="text1"/>
          <w:lang w:val="sq-AL"/>
        </w:rPr>
        <w:t xml:space="preserve"> të ndikimit gjinor gjatë procesit të hartimit të buxheteve të organizatave buxhetore, duke e vendosur atë si kusht për miratimin e projektbuxhetit. Qarkoret duhet të përfshijnë udhëzime të qarta për të dhënat e detyrueshme të ndara sipas gjinisë që duhet të sigurohen si pjesë e aneksit të buxhetit të kërkuar, duke përfshirë përfituesit e synuar të investimeve kapitale.</w:t>
      </w:r>
    </w:p>
    <w:p w14:paraId="19028FA8" w14:textId="58B41A20" w:rsidR="008B6F27" w:rsidRPr="00DF6A9B" w:rsidRDefault="00E821ED" w:rsidP="00096F69">
      <w:pPr>
        <w:pStyle w:val="ListParagraph"/>
        <w:numPr>
          <w:ilvl w:val="0"/>
          <w:numId w:val="4"/>
        </w:numPr>
        <w:rPr>
          <w:rFonts w:eastAsia="RRGK Book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>Të s</w:t>
      </w:r>
      <w:r w:rsidR="008B6F27" w:rsidRPr="00DF6A9B">
        <w:rPr>
          <w:rFonts w:eastAsia="Calibri" w:cs="Tahoma"/>
          <w:color w:val="000000" w:themeColor="text1"/>
          <w:lang w:val="sq-AL"/>
        </w:rPr>
        <w:t>iguroh</w:t>
      </w:r>
      <w:r w:rsidRPr="00DF6A9B">
        <w:rPr>
          <w:rFonts w:eastAsia="Calibri" w:cs="Tahoma"/>
          <w:color w:val="000000" w:themeColor="text1"/>
          <w:lang w:val="sq-AL"/>
        </w:rPr>
        <w:t>eni</w:t>
      </w:r>
      <w:r w:rsidR="008B6F27" w:rsidRPr="00DF6A9B">
        <w:rPr>
          <w:rFonts w:eastAsia="Calibri" w:cs="Tahoma"/>
          <w:color w:val="000000" w:themeColor="text1"/>
          <w:lang w:val="sq-AL"/>
        </w:rPr>
        <w:t xml:space="preserve"> që organizatat buxhetore të kenë kryer</w:t>
      </w:r>
      <w:r w:rsidR="00023CE1" w:rsidRPr="00DF6A9B">
        <w:rPr>
          <w:rFonts w:eastAsia="Calibri" w:cs="Tahoma"/>
          <w:color w:val="000000" w:themeColor="text1"/>
          <w:lang w:val="sq-AL"/>
        </w:rPr>
        <w:t xml:space="preserve"> siq kërkohet </w:t>
      </w:r>
      <w:r w:rsidR="008B6F27" w:rsidRPr="00DF6A9B">
        <w:rPr>
          <w:rFonts w:eastAsia="Calibri" w:cs="Tahoma"/>
          <w:b/>
          <w:color w:val="000000" w:themeColor="text1"/>
          <w:lang w:val="sq-AL"/>
        </w:rPr>
        <w:t>Vlerësim</w:t>
      </w:r>
      <w:r w:rsidR="00023CE1" w:rsidRPr="00DF6A9B">
        <w:rPr>
          <w:rFonts w:eastAsia="Calibri" w:cs="Tahoma"/>
          <w:b/>
          <w:color w:val="000000" w:themeColor="text1"/>
          <w:lang w:val="sq-AL"/>
        </w:rPr>
        <w:t>i</w:t>
      </w:r>
      <w:r w:rsidR="00E2165B" w:rsidRPr="00DF6A9B">
        <w:rPr>
          <w:rFonts w:eastAsia="Calibri" w:cs="Tahoma"/>
          <w:b/>
          <w:color w:val="000000" w:themeColor="text1"/>
          <w:lang w:val="sq-AL"/>
        </w:rPr>
        <w:t>n</w:t>
      </w:r>
      <w:r w:rsidR="008B6F27" w:rsidRPr="00DF6A9B">
        <w:rPr>
          <w:rFonts w:eastAsia="Calibri" w:cs="Tahoma"/>
          <w:b/>
          <w:color w:val="000000" w:themeColor="text1"/>
          <w:lang w:val="sq-AL"/>
        </w:rPr>
        <w:t xml:space="preserve"> </w:t>
      </w:r>
      <w:r w:rsidR="00E2165B" w:rsidRPr="00DF6A9B">
        <w:rPr>
          <w:rFonts w:eastAsia="Calibri" w:cs="Tahoma"/>
          <w:b/>
          <w:color w:val="000000" w:themeColor="text1"/>
          <w:lang w:val="sq-AL"/>
        </w:rPr>
        <w:t>e</w:t>
      </w:r>
      <w:r w:rsidR="00023CE1" w:rsidRPr="00DF6A9B">
        <w:rPr>
          <w:rFonts w:eastAsia="Calibri" w:cs="Tahoma"/>
          <w:b/>
          <w:color w:val="000000" w:themeColor="text1"/>
          <w:lang w:val="sq-AL"/>
        </w:rPr>
        <w:t xml:space="preserve"> </w:t>
      </w:r>
      <w:r w:rsidR="008B6F27" w:rsidRPr="00DF6A9B">
        <w:rPr>
          <w:rFonts w:eastAsia="Calibri" w:cs="Tahoma"/>
          <w:b/>
          <w:color w:val="000000" w:themeColor="text1"/>
          <w:lang w:val="sq-AL"/>
        </w:rPr>
        <w:t>Ndikimit Gjinor (GIA)</w:t>
      </w:r>
      <w:r w:rsidR="00023CE1" w:rsidRPr="00DF6A9B">
        <w:rPr>
          <w:rFonts w:eastAsia="Calibri" w:cs="Tahoma"/>
          <w:b/>
          <w:color w:val="000000" w:themeColor="text1"/>
          <w:lang w:val="sq-AL"/>
        </w:rPr>
        <w:t xml:space="preserve"> ex ante</w:t>
      </w:r>
      <w:r w:rsidR="008B6F27" w:rsidRPr="00DF6A9B">
        <w:rPr>
          <w:rFonts w:eastAsia="Calibri" w:cs="Tahoma"/>
          <w:color w:val="000000" w:themeColor="text1"/>
          <w:lang w:val="sq-AL"/>
        </w:rPr>
        <w:t xml:space="preserve">, duke përdorur </w:t>
      </w:r>
      <w:hyperlink r:id="rId16" w:history="1">
        <w:r w:rsidR="008B6F27" w:rsidRPr="00DF6A9B">
          <w:rPr>
            <w:rStyle w:val="Hyperlink"/>
            <w:rFonts w:eastAsia="Calibri" w:cs="Tahoma"/>
            <w:lang w:val="sq-AL"/>
          </w:rPr>
          <w:t>Udhëzimet e Agjencisë për Barazi Gjinore</w:t>
        </w:r>
      </w:hyperlink>
      <w:r w:rsidR="008B6F27" w:rsidRPr="00DF6A9B">
        <w:rPr>
          <w:rFonts w:eastAsia="Calibri" w:cs="Tahoma"/>
          <w:color w:val="000000" w:themeColor="text1"/>
          <w:lang w:val="sq-AL"/>
        </w:rPr>
        <w:t>, për të informuar kërkesat buxhetore shumëvjeçare dhe vjetore, duke përfshirë analizën gjinore ndërsektor</w:t>
      </w:r>
      <w:r w:rsidR="0071654E" w:rsidRPr="00DF6A9B">
        <w:rPr>
          <w:rFonts w:eastAsia="Calibri" w:cs="Tahoma"/>
          <w:color w:val="000000" w:themeColor="text1"/>
          <w:lang w:val="sq-AL"/>
        </w:rPr>
        <w:t>i</w:t>
      </w:r>
      <w:r w:rsidR="008B6F27" w:rsidRPr="00DF6A9B">
        <w:rPr>
          <w:rFonts w:eastAsia="Calibri" w:cs="Tahoma"/>
          <w:color w:val="000000" w:themeColor="text1"/>
          <w:lang w:val="sq-AL"/>
        </w:rPr>
        <w:t>ale. Gjetjet e kësaj analize gjinore duhet të përfshihen në Kornizën Afatmesme të Shpenzimeve (KASH), Kornizën Afatmesme Buxhetore (KBA) dhe shtesat e kërkuara të buxheteve vjetore. Analiza gjinore duhet të informojë treguesit, bazat dhe objektivat drejt avancimit të barazisë gjinore brenda çdo organizate buxhetore.</w:t>
      </w:r>
    </w:p>
    <w:p w14:paraId="07DD3B24" w14:textId="3ABA6B95" w:rsidR="00096F69" w:rsidRPr="00DF6A9B" w:rsidRDefault="00E821ED" w:rsidP="008B6F27">
      <w:pPr>
        <w:pStyle w:val="ListParagraph"/>
        <w:numPr>
          <w:ilvl w:val="0"/>
          <w:numId w:val="4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>Të r</w:t>
      </w:r>
      <w:r w:rsidR="00096F69" w:rsidRPr="00DF6A9B">
        <w:rPr>
          <w:rFonts w:eastAsia="Calibri" w:cs="Tahoma"/>
          <w:color w:val="000000" w:themeColor="text1"/>
          <w:lang w:val="sq-AL"/>
        </w:rPr>
        <w:t xml:space="preserve">ishikoni cilësinë e KASH-it, KAB-it dhe propozimeve buxhetore vjetore të organizatave buxhetore nga perspektiva gjinore, duke përfshirë shtesat e kërkuara të BPGJ-së. Propozimet buxhetore pa shtesat e BPGJ-së ose me analiza të pamjaftueshme gjinore, objektiva, baza dhe targete duhet t'u kthehen organizatave buxhetore për rishikim para miratimit. </w:t>
      </w:r>
      <w:r w:rsidRPr="00DF6A9B">
        <w:rPr>
          <w:rFonts w:eastAsia="Calibri" w:cs="Tahoma"/>
          <w:color w:val="000000" w:themeColor="text1"/>
          <w:lang w:val="sq-AL"/>
        </w:rPr>
        <w:t>Poashtu, të p</w:t>
      </w:r>
      <w:r w:rsidR="00096F69" w:rsidRPr="00DF6A9B">
        <w:rPr>
          <w:rFonts w:eastAsia="Calibri" w:cs="Tahoma"/>
          <w:color w:val="000000" w:themeColor="text1"/>
          <w:lang w:val="sq-AL"/>
        </w:rPr>
        <w:t xml:space="preserve">ërdorni kurrikulat e trajnimit të Institutit të Kosovës për Administratë Publike për BPGJ dhe </w:t>
      </w:r>
      <w:r w:rsidRPr="00DF6A9B">
        <w:rPr>
          <w:rFonts w:eastAsia="Calibri" w:cs="Tahoma"/>
          <w:color w:val="000000" w:themeColor="text1"/>
          <w:lang w:val="sq-AL"/>
        </w:rPr>
        <w:t xml:space="preserve">të </w:t>
      </w:r>
      <w:r w:rsidR="00096F69" w:rsidRPr="00DF6A9B">
        <w:rPr>
          <w:rFonts w:eastAsia="Calibri" w:cs="Tahoma"/>
          <w:color w:val="000000" w:themeColor="text1"/>
          <w:lang w:val="sq-AL"/>
        </w:rPr>
        <w:t>bashkëpunoni me organizatat eksperte për të drejtat e grave për të trajnuar zyrtarët buxhetorë se si të shqyrtojnë propozimet e organizatave buxhetore për t'u siguruar që ato i kanë përmbushur kërkesat e BPGJ-së.</w:t>
      </w:r>
    </w:p>
    <w:p w14:paraId="2CB5BFDF" w14:textId="3F188568" w:rsidR="008B6F27" w:rsidRPr="00DF6A9B" w:rsidRDefault="00E821ED" w:rsidP="005D1004">
      <w:pPr>
        <w:pStyle w:val="ListParagraph"/>
        <w:numPr>
          <w:ilvl w:val="0"/>
          <w:numId w:val="4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>Të p</w:t>
      </w:r>
      <w:r w:rsidR="00096F69" w:rsidRPr="00DF6A9B">
        <w:rPr>
          <w:rFonts w:eastAsia="Calibri" w:cs="Tahoma"/>
          <w:color w:val="000000" w:themeColor="text1"/>
          <w:lang w:val="sq-AL"/>
        </w:rPr>
        <w:t>ubli</w:t>
      </w:r>
      <w:r w:rsidRPr="00DF6A9B">
        <w:rPr>
          <w:rFonts w:eastAsia="Calibri" w:cs="Tahoma"/>
          <w:color w:val="000000" w:themeColor="text1"/>
          <w:lang w:val="sq-AL"/>
        </w:rPr>
        <w:t>kohet</w:t>
      </w:r>
      <w:r w:rsidR="00096F69" w:rsidRPr="00DF6A9B">
        <w:rPr>
          <w:rFonts w:eastAsia="Calibri" w:cs="Tahoma"/>
          <w:color w:val="000000" w:themeColor="text1"/>
          <w:lang w:val="sq-AL"/>
        </w:rPr>
        <w:t xml:space="preserve"> një Deklarat</w:t>
      </w:r>
      <w:r w:rsidRPr="00DF6A9B">
        <w:rPr>
          <w:rFonts w:eastAsia="Calibri" w:cs="Tahoma"/>
          <w:color w:val="000000" w:themeColor="text1"/>
          <w:lang w:val="sq-AL"/>
        </w:rPr>
        <w:t>ë</w:t>
      </w:r>
      <w:r w:rsidR="00096F69" w:rsidRPr="00DF6A9B">
        <w:rPr>
          <w:rFonts w:eastAsia="Calibri" w:cs="Tahoma"/>
          <w:color w:val="000000" w:themeColor="text1"/>
          <w:lang w:val="sq-AL"/>
        </w:rPr>
        <w:t xml:space="preserve"> Buxhetore Gjinore së bashku me Buxhetin e Kosovës për vitin 2024, si dhe shtesat e detyrueshme të BPGJ-së, në përputhje me udhëzimet e PEFA GRPFM dhe OKB OZHQ 5.c.1. Deri më sot, këto nuk janë publikuar në faqet e internetit të Qeverisë në drejtim të transparencës dhe në përputhje me treguesin e </w:t>
      </w:r>
      <w:hyperlink r:id="rId17" w:history="1">
        <w:r w:rsidR="00096F69" w:rsidRPr="00DF6A9B">
          <w:rPr>
            <w:rStyle w:val="Hyperlink"/>
            <w:rFonts w:eastAsia="Calibri" w:cs="Tahoma"/>
            <w:lang w:val="sq-AL"/>
          </w:rPr>
          <w:t>OZHQ 5.c.1</w:t>
        </w:r>
      </w:hyperlink>
      <w:r w:rsidR="00096F69" w:rsidRPr="00DF6A9B">
        <w:rPr>
          <w:rFonts w:eastAsia="Calibri" w:cs="Tahoma"/>
          <w:color w:val="000000" w:themeColor="text1"/>
          <w:lang w:val="sq-AL"/>
        </w:rPr>
        <w:t>. Kështu, qytetarët nuk kanë qasje në informacione në lidhje me përpjekjet e Qeverisë për të siguruar BPGJ si pjesë e Buxhetit për vitin 2024, apo buxheteve të viteve të mëparshme.</w:t>
      </w:r>
    </w:p>
    <w:p w14:paraId="5B74BE1B" w14:textId="5D593989" w:rsidR="005D1004" w:rsidRPr="00DF6A9B" w:rsidRDefault="00D715B9" w:rsidP="005D1004">
      <w:pPr>
        <w:pStyle w:val="ListParagraph"/>
        <w:numPr>
          <w:ilvl w:val="0"/>
          <w:numId w:val="4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>Të s</w:t>
      </w:r>
      <w:r w:rsidR="005D1004" w:rsidRPr="00DF6A9B">
        <w:rPr>
          <w:rFonts w:eastAsia="Calibri" w:cs="Tahoma"/>
          <w:color w:val="000000" w:themeColor="text1"/>
          <w:lang w:val="sq-AL"/>
        </w:rPr>
        <w:t>iguroh</w:t>
      </w:r>
      <w:r w:rsidRPr="00DF6A9B">
        <w:rPr>
          <w:rFonts w:eastAsia="Calibri" w:cs="Tahoma"/>
          <w:color w:val="000000" w:themeColor="text1"/>
          <w:lang w:val="sq-AL"/>
        </w:rPr>
        <w:t>e</w:t>
      </w:r>
      <w:r w:rsidR="005D1004" w:rsidRPr="00DF6A9B">
        <w:rPr>
          <w:rFonts w:eastAsia="Calibri" w:cs="Tahoma"/>
          <w:color w:val="000000" w:themeColor="text1"/>
          <w:lang w:val="sq-AL"/>
        </w:rPr>
        <w:t>ni që dokumentet buxhetore të kenë objektiva dhe tregues të qartë të performancës në lidhje me barazinë gjinore nëpër linja të ndryshme buxhetore, duke lidhur alokimet buxhetore me zotimet e Kosovës për barazinë gjinore në strategjitë, programet dhe planet e saj të veprimit.</w:t>
      </w:r>
    </w:p>
    <w:p w14:paraId="430132A2" w14:textId="29F85182" w:rsidR="00023CE1" w:rsidRPr="00DF6A9B" w:rsidRDefault="00023CE1" w:rsidP="005D1004">
      <w:pPr>
        <w:pStyle w:val="ListParagraph"/>
        <w:numPr>
          <w:ilvl w:val="0"/>
          <w:numId w:val="4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>T</w:t>
      </w:r>
      <w:r w:rsidR="000F5F05" w:rsidRPr="00DF6A9B">
        <w:rPr>
          <w:rFonts w:eastAsia="Calibri" w:cs="Tahoma"/>
          <w:color w:val="000000" w:themeColor="text1"/>
          <w:lang w:val="sq-AL"/>
        </w:rPr>
        <w:t xml:space="preserve">ë inkurajohen </w:t>
      </w:r>
      <w:r w:rsidRPr="00DF6A9B">
        <w:rPr>
          <w:rFonts w:eastAsia="Calibri" w:cs="Tahoma"/>
          <w:color w:val="000000" w:themeColor="text1"/>
          <w:lang w:val="sq-AL"/>
        </w:rPr>
        <w:t>organizata</w:t>
      </w:r>
      <w:r w:rsidR="000F5F05" w:rsidRPr="00DF6A9B">
        <w:rPr>
          <w:rFonts w:eastAsia="Calibri" w:cs="Tahoma"/>
          <w:color w:val="000000" w:themeColor="text1"/>
          <w:lang w:val="sq-AL"/>
        </w:rPr>
        <w:t>t</w:t>
      </w:r>
      <w:r w:rsidRPr="00DF6A9B">
        <w:rPr>
          <w:rFonts w:eastAsia="Calibri" w:cs="Tahoma"/>
          <w:color w:val="000000" w:themeColor="text1"/>
          <w:lang w:val="sq-AL"/>
        </w:rPr>
        <w:t xml:space="preserve"> buxhetore që të kryejnë vlerësime të ndikimit gjinor ex-post të shpenzimeve për të informuar ndikimin e shpenzimeve dhe planifikimin </w:t>
      </w:r>
      <w:r w:rsidR="000F5F05" w:rsidRPr="00DF6A9B">
        <w:rPr>
          <w:rFonts w:eastAsia="Calibri" w:cs="Tahoma"/>
          <w:color w:val="000000" w:themeColor="text1"/>
          <w:lang w:val="sq-AL"/>
        </w:rPr>
        <w:t>buxhetit.</w:t>
      </w:r>
    </w:p>
    <w:p w14:paraId="16B30C34" w14:textId="77777777" w:rsidR="005D1004" w:rsidRPr="00DF6A9B" w:rsidRDefault="005D1004" w:rsidP="005D1004">
      <w:pPr>
        <w:pStyle w:val="ListParagraph"/>
        <w:rPr>
          <w:rFonts w:eastAsia="Calibri" w:cs="Tahoma"/>
          <w:color w:val="000000" w:themeColor="text1"/>
          <w:lang w:val="sq-AL"/>
        </w:rPr>
      </w:pPr>
    </w:p>
    <w:p w14:paraId="538E8861" w14:textId="4EA7D83F" w:rsidR="008B6F27" w:rsidRPr="00DF6A9B" w:rsidRDefault="008B6F27" w:rsidP="008B6F27">
      <w:pPr>
        <w:pStyle w:val="ListParagraph"/>
        <w:numPr>
          <w:ilvl w:val="0"/>
          <w:numId w:val="5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b/>
          <w:bCs/>
          <w:color w:val="000000" w:themeColor="text1"/>
          <w:lang w:val="sq-AL"/>
        </w:rPr>
        <w:t>Invest</w:t>
      </w:r>
      <w:r w:rsidR="00DF2F82" w:rsidRPr="00DF6A9B">
        <w:rPr>
          <w:rFonts w:eastAsia="Calibri" w:cs="Tahoma"/>
          <w:b/>
          <w:bCs/>
          <w:color w:val="000000" w:themeColor="text1"/>
          <w:lang w:val="sq-AL"/>
        </w:rPr>
        <w:t>imi në Ekonominë e Kujdesit</w:t>
      </w:r>
    </w:p>
    <w:p w14:paraId="146FF767" w14:textId="1E91016D" w:rsidR="00DF2F82" w:rsidRPr="00DF6A9B" w:rsidRDefault="00983F47" w:rsidP="008B6F27">
      <w:pPr>
        <w:pStyle w:val="ListParagraph"/>
        <w:numPr>
          <w:ilvl w:val="0"/>
          <w:numId w:val="3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 xml:space="preserve">Alokimi i financave për krijimin e mundësive për punësim duke zgjeruar mundësitë e kujdesit për fëmijët dhe duke përmirësuar shërbimet e kujdesit për të moshuarit, të sëmurët dhe personat me aftësi të kufizuara. Hulumtimi i RrGK-së ka vlerësuar se transformimi i kujdesit të papaguar në kujdes të paguar mund të kontribuojë në </w:t>
      </w:r>
      <w:hyperlink r:id="rId18" w:history="1">
        <w:r w:rsidRPr="00DF6A9B">
          <w:rPr>
            <w:rStyle w:val="Hyperlink"/>
            <w:rFonts w:eastAsia="Calibri" w:cs="Tahoma"/>
            <w:lang w:val="sq-AL"/>
          </w:rPr>
          <w:t>9,899</w:t>
        </w:r>
      </w:hyperlink>
      <w:r w:rsidRPr="00DF6A9B">
        <w:rPr>
          <w:rFonts w:eastAsia="Calibri" w:cs="Tahoma"/>
          <w:color w:val="000000" w:themeColor="text1"/>
          <w:lang w:val="sq-AL"/>
        </w:rPr>
        <w:t xml:space="preserve"> vende të reja pune që lidhen vetëm me kujdesin ndaj fëmijëve, duke adresuar shkallën e lartë të papunësisë dhe pasivitetit në Kosovë. Investime të tilla gjithashtu mund të mundësojnë më shumë gra të punojnë dhe të kontribuojnë në përmirësimin e rezultateve edukative në përputhje me objektivat e BE-së së Barcelonës.</w:t>
      </w:r>
    </w:p>
    <w:p w14:paraId="54E28EF5" w14:textId="4E4DB906" w:rsidR="008B6F27" w:rsidRPr="00DF6A9B" w:rsidRDefault="008B6F27" w:rsidP="008B6F27">
      <w:pPr>
        <w:pStyle w:val="ListParagraph"/>
        <w:rPr>
          <w:rFonts w:eastAsia="Calibri" w:cs="Tahoma"/>
          <w:color w:val="000000" w:themeColor="text1"/>
          <w:lang w:val="sq-AL"/>
        </w:rPr>
      </w:pPr>
    </w:p>
    <w:p w14:paraId="12933DB3" w14:textId="6061E48A" w:rsidR="008B6F27" w:rsidRPr="00DF6A9B" w:rsidRDefault="009E1D29" w:rsidP="008B6F27">
      <w:pPr>
        <w:pStyle w:val="ListParagraph"/>
        <w:numPr>
          <w:ilvl w:val="0"/>
          <w:numId w:val="5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b/>
          <w:bCs/>
          <w:color w:val="000000" w:themeColor="text1"/>
          <w:lang w:val="sq-AL"/>
        </w:rPr>
        <w:lastRenderedPageBreak/>
        <w:t>Përmbushja e zotimeve për adresimin e dhunës me bazë gjinore ndaj grave dhe fëmijëve</w:t>
      </w:r>
      <w:r w:rsidR="0071654E" w:rsidRPr="00DF6A9B">
        <w:rPr>
          <w:rFonts w:eastAsia="Calibri" w:cs="Tahoma"/>
          <w:b/>
          <w:bCs/>
          <w:color w:val="000000" w:themeColor="text1"/>
          <w:lang w:val="sq-AL"/>
        </w:rPr>
        <w:t>.</w:t>
      </w:r>
    </w:p>
    <w:p w14:paraId="687E342A" w14:textId="51BD3484" w:rsidR="00E51000" w:rsidRPr="00DF6A9B" w:rsidRDefault="00E51000" w:rsidP="008B6F27">
      <w:pPr>
        <w:pStyle w:val="ListParagraph"/>
        <w:numPr>
          <w:ilvl w:val="0"/>
          <w:numId w:val="2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 xml:space="preserve">Gjatë rishikimit të buxhetit, Ministria e Drejtësisë të sigurohet që të ketë ndarë burimet e duhura për një Qendër të Krizave të Dhunimit, trajtim për të mbijetuarat e dhunës seksuale dhe një linjë telefonike SOS, sipas Konventës së Stambollit, në përputhje me </w:t>
      </w:r>
      <w:hyperlink r:id="rId19" w:history="1">
        <w:r w:rsidR="00E2165B" w:rsidRPr="00DF6A9B">
          <w:rPr>
            <w:rStyle w:val="Hyperlink"/>
            <w:rFonts w:eastAsia="Calibri" w:cs="Tahoma"/>
            <w:lang w:val="sq-AL"/>
          </w:rPr>
          <w:t>Protokollin e ri Shtetëror për Trajtimin Rasteve të Dhunës Seksuale.</w:t>
        </w:r>
      </w:hyperlink>
    </w:p>
    <w:p w14:paraId="464D4E34" w14:textId="174DD4C2" w:rsidR="00395714" w:rsidRPr="00DF6A9B" w:rsidRDefault="00395714" w:rsidP="008B6F27">
      <w:pPr>
        <w:pStyle w:val="ListParagraph"/>
        <w:numPr>
          <w:ilvl w:val="0"/>
          <w:numId w:val="2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>Të rritet buxheti i alokuar për Qendrat për Punë Sociale në kategorinë e Pagave dhe Mëditjeve si pjesë e Grantit të Qeverisë për Shërbime Sociale për të punësuar më shumë punonjës social në secilën komunë, të ngarkuar në mënyrë specifike për trajtimin e rasteve të dhunës me bazë gjinore. Kostoja shtesë e punësimit të dy punonjësve social në secilën komunë të trajtuar rastet e dhunës me bazë gjinore, përfshirë dhunën seksuale dhe atë në familje, do të arrinte në rreth 444,000€ në vit për Qeverinë e Kosovës. Kjo shumë konsideron se Prishtina, komuna më e madhe, do të kërkonte katër punëtorë të tillë social duke marrë parasysh madhësinë e saj. Kjo duhet të kërkohet nga të gjitha komunat si pjesë e buxheteve të tyre drejt zbatimit të kornizës ligjore dhe Protokollit të ri Shtetëror për Trajtimin e Rasteve të Dhunës Seksuale.</w:t>
      </w:r>
    </w:p>
    <w:p w14:paraId="4B1894C2" w14:textId="174C0C14" w:rsidR="00C839CC" w:rsidRPr="00DF6A9B" w:rsidRDefault="009667DD" w:rsidP="008B6F27">
      <w:pPr>
        <w:pStyle w:val="ListParagraph"/>
        <w:numPr>
          <w:ilvl w:val="0"/>
          <w:numId w:val="1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 xml:space="preserve">Të rritet </w:t>
      </w:r>
      <w:r w:rsidR="00C839CC" w:rsidRPr="00DF6A9B">
        <w:rPr>
          <w:rFonts w:eastAsia="Calibri" w:cs="Tahoma"/>
          <w:color w:val="000000" w:themeColor="text1"/>
          <w:lang w:val="sq-AL"/>
        </w:rPr>
        <w:t>buxheti për Zyrën e Mbrojtjes dhe Asistencës së Viktimave në përputhje me nevojat dhe kërkesën buxhetore të bazuar në dëshmi, në mënyrë që kjo zyrë të mund të kryejë përgjegjësitë e saj.</w:t>
      </w:r>
    </w:p>
    <w:p w14:paraId="6BB88495" w14:textId="77777777" w:rsidR="008B6F27" w:rsidRPr="00DF6A9B" w:rsidRDefault="008B6F27" w:rsidP="008B6F27">
      <w:pPr>
        <w:ind w:left="360"/>
        <w:rPr>
          <w:rFonts w:ascii="RRGK Book" w:eastAsia="Calibri" w:hAnsi="RRGK Book" w:cs="Tahoma"/>
          <w:color w:val="000000" w:themeColor="text1"/>
          <w:lang w:val="sq-AL"/>
        </w:rPr>
      </w:pPr>
    </w:p>
    <w:p w14:paraId="09E53BE6" w14:textId="4822698A" w:rsidR="00144E66" w:rsidRPr="00DF6A9B" w:rsidRDefault="00395714" w:rsidP="0071654E">
      <w:pPr>
        <w:pStyle w:val="ListParagraph"/>
        <w:numPr>
          <w:ilvl w:val="0"/>
          <w:numId w:val="5"/>
        </w:numPr>
        <w:rPr>
          <w:rFonts w:eastAsia="Calibri" w:cs="Tahoma"/>
          <w:color w:val="0078D4"/>
          <w:lang w:val="sq-AL"/>
        </w:rPr>
      </w:pPr>
      <w:r w:rsidRPr="00DF6A9B">
        <w:rPr>
          <w:rFonts w:eastAsia="Calibri" w:cs="Tahoma"/>
          <w:b/>
          <w:bCs/>
          <w:color w:val="000000" w:themeColor="text1"/>
          <w:lang w:val="sq-AL"/>
        </w:rPr>
        <w:t>Alokimi adekuat i financave për Skemën e Asistencës Personale</w:t>
      </w:r>
    </w:p>
    <w:p w14:paraId="75D5FE73" w14:textId="503AA670" w:rsidR="00144E66" w:rsidRPr="00DF6A9B" w:rsidRDefault="00144E66" w:rsidP="008B6F27">
      <w:pPr>
        <w:pStyle w:val="ListParagraph"/>
        <w:numPr>
          <w:ilvl w:val="0"/>
          <w:numId w:val="1"/>
        </w:numPr>
        <w:rPr>
          <w:rFonts w:eastAsia="Calibri" w:cs="Tahoma"/>
          <w:color w:val="000000" w:themeColor="text1"/>
          <w:lang w:val="sq-AL"/>
        </w:rPr>
      </w:pPr>
      <w:r w:rsidRPr="00DF6A9B">
        <w:rPr>
          <w:rFonts w:eastAsia="Calibri" w:cs="Tahoma"/>
          <w:color w:val="000000" w:themeColor="text1"/>
          <w:lang w:val="sq-AL"/>
        </w:rPr>
        <w:t xml:space="preserve">Të vendoset një linjë buxhetore e qartë dhe e përhershme për financimin e Skemës së Asistencës Personale, duke marrë parasysh analizën gjinore dhe </w:t>
      </w:r>
      <w:hyperlink r:id="rId20" w:history="1">
        <w:r w:rsidRPr="00DF6A9B">
          <w:rPr>
            <w:rStyle w:val="Hyperlink"/>
            <w:rFonts w:eastAsia="Calibri" w:cs="Tahoma"/>
            <w:lang w:val="sq-AL"/>
          </w:rPr>
          <w:t>kohën aktuale që kërkohet nga asistentët personal për të ndihmuar personat me aftësi të kufizuara për të parandaluar shkeljet e të drejtave të punës së asistentëve personal</w:t>
        </w:r>
      </w:hyperlink>
      <w:r w:rsidRPr="00DF6A9B">
        <w:rPr>
          <w:rFonts w:eastAsia="Calibri" w:cs="Tahoma"/>
          <w:color w:val="000000" w:themeColor="text1"/>
          <w:lang w:val="sq-AL"/>
        </w:rPr>
        <w:t xml:space="preserve">. Rritja e buxhetit të alokuar për asistent personal </w:t>
      </w:r>
      <w:r w:rsidR="00D715B9" w:rsidRPr="00DF6A9B">
        <w:rPr>
          <w:rFonts w:eastAsia="Calibri" w:cs="Tahoma"/>
          <w:color w:val="000000" w:themeColor="text1"/>
          <w:lang w:val="sq-AL"/>
        </w:rPr>
        <w:t xml:space="preserve">të personave paraplegjikë dhe tetraplegjikë (PTTP) me shumë aktuale prej </w:t>
      </w:r>
      <w:r w:rsidRPr="00DF6A9B">
        <w:rPr>
          <w:rFonts w:eastAsia="Calibri" w:cs="Tahoma"/>
          <w:color w:val="000000" w:themeColor="text1"/>
          <w:lang w:val="sq-AL"/>
        </w:rPr>
        <w:t>15</w:t>
      </w:r>
      <w:r w:rsidR="0071654E" w:rsidRPr="00DF6A9B">
        <w:rPr>
          <w:rFonts w:eastAsia="Calibri" w:cs="Tahoma"/>
          <w:color w:val="000000" w:themeColor="text1"/>
          <w:lang w:val="sq-AL"/>
        </w:rPr>
        <w:t>0</w:t>
      </w:r>
      <w:r w:rsidRPr="00DF6A9B">
        <w:rPr>
          <w:rFonts w:eastAsia="Calibri" w:cs="Tahoma"/>
          <w:color w:val="000000" w:themeColor="text1"/>
          <w:lang w:val="sq-AL"/>
        </w:rPr>
        <w:t>€</w:t>
      </w:r>
      <w:r w:rsidR="009667DD" w:rsidRPr="00DF6A9B">
        <w:rPr>
          <w:rFonts w:eastAsia="Calibri" w:cs="Tahoma"/>
          <w:color w:val="000000" w:themeColor="text1"/>
          <w:lang w:val="sq-AL"/>
        </w:rPr>
        <w:t xml:space="preserve"> </w:t>
      </w:r>
      <w:r w:rsidRPr="00DF6A9B">
        <w:rPr>
          <w:rFonts w:eastAsia="Calibri" w:cs="Tahoma"/>
          <w:color w:val="000000" w:themeColor="text1"/>
          <w:lang w:val="sq-AL"/>
        </w:rPr>
        <w:t>dhe</w:t>
      </w:r>
      <w:r w:rsidR="009667DD" w:rsidRPr="00DF6A9B">
        <w:rPr>
          <w:rFonts w:eastAsia="Calibri" w:cs="Tahoma"/>
          <w:color w:val="000000" w:themeColor="text1"/>
          <w:lang w:val="sq-AL"/>
        </w:rPr>
        <w:t xml:space="preserve"> </w:t>
      </w:r>
      <w:r w:rsidRPr="00DF6A9B">
        <w:rPr>
          <w:rFonts w:eastAsia="Calibri" w:cs="Tahoma"/>
          <w:color w:val="000000" w:themeColor="text1"/>
          <w:lang w:val="sq-AL"/>
        </w:rPr>
        <w:t xml:space="preserve">për personat e verbër </w:t>
      </w:r>
      <w:r w:rsidR="00D715B9" w:rsidRPr="00DF6A9B">
        <w:rPr>
          <w:rFonts w:eastAsia="Calibri" w:cs="Tahoma"/>
          <w:color w:val="000000" w:themeColor="text1"/>
          <w:lang w:val="sq-AL"/>
        </w:rPr>
        <w:t>me shumë aktuale prej 125€</w:t>
      </w:r>
      <w:r w:rsidR="009667DD" w:rsidRPr="00DF6A9B">
        <w:rPr>
          <w:rFonts w:eastAsia="Calibri" w:cs="Tahoma"/>
          <w:color w:val="000000" w:themeColor="text1"/>
          <w:lang w:val="sq-AL"/>
        </w:rPr>
        <w:t xml:space="preserve">, </w:t>
      </w:r>
      <w:r w:rsidRPr="00DF6A9B">
        <w:rPr>
          <w:rFonts w:eastAsia="Calibri" w:cs="Tahoma"/>
          <w:color w:val="000000" w:themeColor="text1"/>
          <w:lang w:val="sq-AL"/>
        </w:rPr>
        <w:t xml:space="preserve">të përputhet së paku me pagën minimale </w:t>
      </w:r>
      <w:r w:rsidR="00D715B9" w:rsidRPr="00DF6A9B">
        <w:rPr>
          <w:rFonts w:eastAsia="Calibri" w:cs="Tahoma"/>
          <w:color w:val="000000" w:themeColor="text1"/>
          <w:lang w:val="sq-AL"/>
        </w:rPr>
        <w:t>(që aktualisht është 264€)</w:t>
      </w:r>
      <w:r w:rsidR="009667DD" w:rsidRPr="00DF6A9B">
        <w:rPr>
          <w:rFonts w:eastAsia="Calibri" w:cs="Tahoma"/>
          <w:color w:val="000000" w:themeColor="text1"/>
          <w:lang w:val="sq-AL"/>
        </w:rPr>
        <w:t xml:space="preserve"> </w:t>
      </w:r>
      <w:r w:rsidR="00E2165B" w:rsidRPr="00DF6A9B">
        <w:rPr>
          <w:rFonts w:eastAsia="Calibri" w:cs="Tahoma"/>
          <w:color w:val="000000" w:themeColor="text1"/>
          <w:lang w:val="sq-AL"/>
        </w:rPr>
        <w:t>apo</w:t>
      </w:r>
      <w:r w:rsidRPr="00DF6A9B">
        <w:rPr>
          <w:rFonts w:eastAsia="Calibri" w:cs="Tahoma"/>
          <w:color w:val="000000" w:themeColor="text1"/>
          <w:lang w:val="sq-AL"/>
        </w:rPr>
        <w:t xml:space="preserve"> idealisht </w:t>
      </w:r>
      <w:r w:rsidR="009667DD" w:rsidRPr="00DF6A9B">
        <w:rPr>
          <w:rFonts w:cs="Tahoma"/>
          <w:lang w:val="sq-AL"/>
        </w:rPr>
        <w:t>të përputhet</w:t>
      </w:r>
      <w:r w:rsidR="0071654E" w:rsidRPr="00DF6A9B">
        <w:rPr>
          <w:rFonts w:cs="Tahoma"/>
          <w:lang w:val="sq-AL"/>
        </w:rPr>
        <w:t xml:space="preserve"> </w:t>
      </w:r>
      <w:r w:rsidRPr="00DF6A9B">
        <w:rPr>
          <w:rFonts w:cs="Tahoma"/>
          <w:lang w:val="sq-AL"/>
        </w:rPr>
        <w:t>me</w:t>
      </w:r>
      <w:r w:rsidRPr="00DF6A9B">
        <w:rPr>
          <w:rFonts w:eastAsia="Calibri" w:cs="Tahoma"/>
          <w:color w:val="000000" w:themeColor="text1"/>
          <w:lang w:val="sq-AL"/>
        </w:rPr>
        <w:t xml:space="preserve"> pagën mesatare (</w:t>
      </w:r>
      <w:r w:rsidR="009667DD" w:rsidRPr="00DF6A9B">
        <w:rPr>
          <w:rFonts w:eastAsia="Calibri" w:cs="Tahoma"/>
          <w:color w:val="000000" w:themeColor="text1"/>
          <w:lang w:val="sq-AL"/>
        </w:rPr>
        <w:t xml:space="preserve">që është </w:t>
      </w:r>
      <w:r w:rsidRPr="00DF6A9B">
        <w:rPr>
          <w:rFonts w:eastAsia="Calibri" w:cs="Tahoma"/>
          <w:color w:val="000000" w:themeColor="text1"/>
          <w:lang w:val="sq-AL"/>
        </w:rPr>
        <w:t>52</w:t>
      </w:r>
      <w:r w:rsidR="0071654E" w:rsidRPr="00DF6A9B">
        <w:rPr>
          <w:rFonts w:eastAsia="Calibri" w:cs="Tahoma"/>
          <w:color w:val="000000" w:themeColor="text1"/>
          <w:lang w:val="sq-AL"/>
        </w:rPr>
        <w:t>1</w:t>
      </w:r>
      <w:r w:rsidRPr="00DF6A9B">
        <w:rPr>
          <w:rFonts w:eastAsia="Calibri" w:cs="Tahoma"/>
          <w:color w:val="000000" w:themeColor="text1"/>
          <w:lang w:val="sq-AL"/>
        </w:rPr>
        <w:t xml:space="preserve">€). Duke marrë parasysh që deri në korrik 2023, </w:t>
      </w:r>
      <w:hyperlink r:id="rId21" w:history="1">
        <w:r w:rsidRPr="00DF6A9B">
          <w:rPr>
            <w:rStyle w:val="Hyperlink"/>
            <w:rFonts w:eastAsia="Calibri" w:cs="Tahoma"/>
            <w:lang w:val="sq-AL"/>
          </w:rPr>
          <w:t>në Kosovë kishte 2,737 persona paraplegjikë dhe tetraplegjikë (PTTP) dhe 1,858 persona të verbër</w:t>
        </w:r>
      </w:hyperlink>
      <w:r w:rsidRPr="00DF6A9B">
        <w:rPr>
          <w:rFonts w:eastAsia="Calibri" w:cs="Tahoma"/>
          <w:color w:val="000000" w:themeColor="text1"/>
          <w:lang w:val="sq-AL"/>
        </w:rPr>
        <w:t>, kjo do të kushtonte rreth 14,391,540€ për vitin 2024, që është afërsisht dyfishi i shpenzimeve të vlerësuara aktuale, bazuar në llogaritjet e RrGK. Ndërkaq, buxhetimi i bazuar në pagën mesatare bruto do të kushtonte përafërsisht 28,727,940€. Qeveria duhet të planifikojë inflacionin e mundshëm</w:t>
      </w:r>
      <w:r w:rsidR="009667DD" w:rsidRPr="00DF6A9B">
        <w:rPr>
          <w:rFonts w:eastAsia="Calibri" w:cs="Tahoma"/>
          <w:color w:val="000000" w:themeColor="text1"/>
          <w:lang w:val="sq-AL"/>
        </w:rPr>
        <w:t xml:space="preserve"> </w:t>
      </w:r>
      <w:r w:rsidRPr="00DF6A9B">
        <w:rPr>
          <w:rFonts w:eastAsia="Calibri" w:cs="Tahoma"/>
          <w:color w:val="000000" w:themeColor="text1"/>
          <w:lang w:val="sq-AL"/>
        </w:rPr>
        <w:t>në buxhetet e viteve të ardhshme.</w:t>
      </w:r>
    </w:p>
    <w:p w14:paraId="3AAEEA8B" w14:textId="77777777" w:rsidR="008B6F27" w:rsidRPr="00DF6A9B" w:rsidRDefault="008B6F27" w:rsidP="008B6F27">
      <w:pPr>
        <w:rPr>
          <w:rFonts w:ascii="RRGK Book" w:eastAsia="Calibri" w:hAnsi="RRGK Book" w:cs="Tahoma"/>
          <w:color w:val="000000" w:themeColor="text1"/>
          <w:lang w:val="sq-AL"/>
        </w:rPr>
      </w:pPr>
    </w:p>
    <w:p w14:paraId="486FFA3D" w14:textId="557FA468" w:rsidR="008B6F27" w:rsidRPr="00DF6A9B" w:rsidRDefault="2AB97F0C" w:rsidP="009667DD">
      <w:pPr>
        <w:rPr>
          <w:rFonts w:ascii="RRGK Book" w:hAnsi="RRGK Book" w:cs="Tahoma"/>
          <w:lang w:val="sq-AL"/>
        </w:rPr>
      </w:pPr>
      <w:r w:rsidRPr="00DF6A9B">
        <w:rPr>
          <w:rFonts w:ascii="RRGK Book" w:hAnsi="RRGK Book" w:cs="Tahoma"/>
          <w:lang w:val="sq-AL"/>
        </w:rPr>
        <w:t xml:space="preserve">Tutje mund </w:t>
      </w:r>
      <w:r w:rsidR="65653C03" w:rsidRPr="00DF6A9B">
        <w:rPr>
          <w:rFonts w:ascii="RRGK Book" w:hAnsi="RRGK Book" w:cs="Tahoma"/>
          <w:lang w:val="sq-AL"/>
        </w:rPr>
        <w:t>ofrojmë</w:t>
      </w:r>
      <w:r w:rsidR="3ED8F489" w:rsidRPr="00DF6A9B">
        <w:rPr>
          <w:rFonts w:ascii="RRGK Book" w:hAnsi="RRGK Book" w:cs="Tahoma"/>
          <w:lang w:val="sq-AL"/>
        </w:rPr>
        <w:t xml:space="preserve"> më shumë informata dhe dëshmi në të </w:t>
      </w:r>
      <w:r w:rsidR="08A777FA" w:rsidRPr="00DF6A9B">
        <w:rPr>
          <w:rFonts w:ascii="RRGK Book" w:hAnsi="RRGK Book" w:cs="Tahoma"/>
          <w:lang w:val="sq-AL"/>
        </w:rPr>
        <w:t>cilat jemi</w:t>
      </w:r>
      <w:r w:rsidR="3ED8F489" w:rsidRPr="00DF6A9B">
        <w:rPr>
          <w:rFonts w:ascii="RRGK Book" w:hAnsi="RRGK Book" w:cs="Tahoma"/>
          <w:lang w:val="sq-AL"/>
        </w:rPr>
        <w:t xml:space="preserve"> bazuar për këto rekomandime dhe llogaritjet e shpenzimeve.</w:t>
      </w:r>
    </w:p>
    <w:sectPr w:rsidR="008B6F27" w:rsidRPr="00DF6A9B" w:rsidSect="00613F09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ACE2" w14:textId="77777777" w:rsidR="00B028C4" w:rsidRDefault="00B028C4">
      <w:r>
        <w:separator/>
      </w:r>
    </w:p>
  </w:endnote>
  <w:endnote w:type="continuationSeparator" w:id="0">
    <w:p w14:paraId="1AEBCE65" w14:textId="77777777" w:rsidR="00B028C4" w:rsidRDefault="00B028C4">
      <w:r>
        <w:continuationSeparator/>
      </w:r>
    </w:p>
  </w:endnote>
  <w:endnote w:type="continuationNotice" w:id="1">
    <w:p w14:paraId="019F05C3" w14:textId="77777777" w:rsidR="00B028C4" w:rsidRDefault="00B02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RGK Book">
    <w:altName w:val="Calibri"/>
    <w:charset w:val="00"/>
    <w:family w:val="auto"/>
    <w:pitch w:val="variable"/>
    <w:sig w:usb0="A00000EF" w:usb1="5000205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RGK Bold Display MT Pro">
    <w:altName w:val="Calibri"/>
    <w:charset w:val="00"/>
    <w:family w:val="auto"/>
    <w:pitch w:val="variable"/>
    <w:sig w:usb0="A00000EF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RGK Display MT Pro ExtBd">
    <w:altName w:val="Calibri"/>
    <w:charset w:val="00"/>
    <w:family w:val="auto"/>
    <w:pitch w:val="variable"/>
    <w:sig w:usb0="A00000EF" w:usb1="5000205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C408CB" w14:paraId="11738272" w14:textId="77777777" w:rsidTr="44C408CB">
      <w:trPr>
        <w:trHeight w:val="300"/>
      </w:trPr>
      <w:tc>
        <w:tcPr>
          <w:tcW w:w="3005" w:type="dxa"/>
        </w:tcPr>
        <w:p w14:paraId="4F3AB028" w14:textId="0237DDB9" w:rsidR="44C408CB" w:rsidRDefault="44C408CB" w:rsidP="44C408CB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538BC93D" w14:textId="7AA8D456" w:rsidR="44C408CB" w:rsidRDefault="44C408CB" w:rsidP="44C408CB">
          <w:pPr>
            <w:pStyle w:val="Header"/>
            <w:jc w:val="center"/>
          </w:pPr>
        </w:p>
      </w:tc>
      <w:tc>
        <w:tcPr>
          <w:tcW w:w="3005" w:type="dxa"/>
        </w:tcPr>
        <w:p w14:paraId="0663A05F" w14:textId="0C1524E2" w:rsidR="44C408CB" w:rsidRDefault="44C408CB" w:rsidP="44C408CB">
          <w:pPr>
            <w:pStyle w:val="Header"/>
            <w:ind w:right="-115"/>
            <w:jc w:val="right"/>
          </w:pPr>
        </w:p>
      </w:tc>
    </w:tr>
  </w:tbl>
  <w:p w14:paraId="7300A3F3" w14:textId="575D8150" w:rsidR="44C408CB" w:rsidRDefault="44C408CB" w:rsidP="44C40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C408CB" w14:paraId="0B8ABD60" w14:textId="77777777" w:rsidTr="44C408CB">
      <w:trPr>
        <w:trHeight w:val="300"/>
      </w:trPr>
      <w:tc>
        <w:tcPr>
          <w:tcW w:w="3005" w:type="dxa"/>
        </w:tcPr>
        <w:p w14:paraId="7939484B" w14:textId="51134647" w:rsidR="44C408CB" w:rsidRDefault="44C408CB" w:rsidP="44C408CB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6CB38189" w14:textId="49DC39E9" w:rsidR="44C408CB" w:rsidRDefault="44C408CB" w:rsidP="44C408CB">
          <w:pPr>
            <w:pStyle w:val="Header"/>
            <w:jc w:val="center"/>
          </w:pPr>
        </w:p>
      </w:tc>
      <w:tc>
        <w:tcPr>
          <w:tcW w:w="3005" w:type="dxa"/>
        </w:tcPr>
        <w:p w14:paraId="6051478A" w14:textId="5A75C0E8" w:rsidR="44C408CB" w:rsidRDefault="44C408CB" w:rsidP="44C408CB">
          <w:pPr>
            <w:pStyle w:val="Header"/>
            <w:ind w:right="-115"/>
            <w:jc w:val="right"/>
          </w:pPr>
        </w:p>
      </w:tc>
    </w:tr>
  </w:tbl>
  <w:p w14:paraId="218C3F38" w14:textId="1C3143D0" w:rsidR="44C408CB" w:rsidRDefault="44C408CB" w:rsidP="44C40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07FE" w14:textId="77777777" w:rsidR="00B028C4" w:rsidRDefault="00B028C4">
      <w:r>
        <w:separator/>
      </w:r>
    </w:p>
  </w:footnote>
  <w:footnote w:type="continuationSeparator" w:id="0">
    <w:p w14:paraId="67A9796E" w14:textId="77777777" w:rsidR="00B028C4" w:rsidRDefault="00B028C4">
      <w:r>
        <w:continuationSeparator/>
      </w:r>
    </w:p>
  </w:footnote>
  <w:footnote w:type="continuationNotice" w:id="1">
    <w:p w14:paraId="1D76B6DD" w14:textId="77777777" w:rsidR="00B028C4" w:rsidRDefault="00B028C4"/>
  </w:footnote>
  <w:footnote w:id="2">
    <w:p w14:paraId="6E39ECD7" w14:textId="2EB556DB" w:rsidR="71EE72B3" w:rsidRPr="00DF6A9B" w:rsidRDefault="71EE72B3" w:rsidP="004D4E13">
      <w:pPr>
        <w:pStyle w:val="FootnoteText"/>
        <w:rPr>
          <w:rFonts w:ascii="RRGK Book" w:eastAsia="Arial" w:hAnsi="RRGK Book" w:cs="Tahoma"/>
          <w:lang w:val="sq-AL" w:eastAsia="zh-CN"/>
        </w:rPr>
      </w:pPr>
      <w:r w:rsidRPr="006E6728">
        <w:rPr>
          <w:rStyle w:val="FootnoteReference"/>
          <w:rFonts w:cs="Tahoma"/>
          <w:lang w:val="sq-AL"/>
        </w:rPr>
        <w:footnoteRef/>
      </w:r>
      <w:r w:rsidRPr="006E6728">
        <w:rPr>
          <w:rFonts w:cs="Tahoma"/>
          <w:lang w:val="sq-AL"/>
        </w:rPr>
        <w:t xml:space="preserve"> </w:t>
      </w:r>
      <w:r w:rsidR="00F6679E" w:rsidRPr="00DF6A9B">
        <w:rPr>
          <w:rFonts w:ascii="RRGK Book" w:hAnsi="RRGK Book" w:cs="Tahoma"/>
          <w:lang w:val="sq-AL"/>
        </w:rPr>
        <w:t>Kjo Përmbledhje e Politikave është përgatitur nga Rrjeti i Grave të Kosovës (RrGK)</w:t>
      </w:r>
      <w:r w:rsidR="00EA0754" w:rsidRPr="00DF6A9B">
        <w:rPr>
          <w:rFonts w:ascii="RRGK Book" w:hAnsi="RRGK Book" w:cs="Tahoma"/>
          <w:lang w:val="sq-AL"/>
        </w:rPr>
        <w:t>, një rrjet i përbërë nga 140 organizata për të drejtat e grave,</w:t>
      </w:r>
      <w:r w:rsidR="00F6679E" w:rsidRPr="00DF6A9B">
        <w:rPr>
          <w:rFonts w:ascii="RRGK Book" w:hAnsi="RRGK Book" w:cs="Tahoma"/>
          <w:lang w:val="sq-AL"/>
        </w:rPr>
        <w:t xml:space="preserve"> si pjesë e Rrjetit Mbikëqyrës të Buxhetit Gjinor në Ballkanin Perëndimor dhe Moldavi, i mbështetur nga Bashkëpunimi Austriak për Zhvillim dhe Bashkëpunimi Suedez për Zhvillim Ndërkombëtar. Është pjesë e serisë “Buxheti Qytetar”, që synon të informojë buxhetet e qeverisë me anë të provave, drejt një buxhetimi më t</w:t>
      </w:r>
      <w:r w:rsidR="00F6679E" w:rsidRPr="00DF6A9B">
        <w:rPr>
          <w:rFonts w:ascii="RRGK Book" w:eastAsia="Arial" w:hAnsi="RRGK Book" w:cs="Tahoma"/>
          <w:lang w:val="sq-AL"/>
        </w:rPr>
        <w:t>ë përgjegjshëm gjinor</w:t>
      </w:r>
      <w:r w:rsidR="00EA0754" w:rsidRPr="00DF6A9B">
        <w:rPr>
          <w:rFonts w:ascii="RRGK Book" w:eastAsia="Arial" w:hAnsi="RRGK Book" w:cs="Tahoma"/>
          <w:lang w:val="sq-AL"/>
        </w:rPr>
        <w:t xml:space="preserve">. Përmbledhja përfshin të dhëna nga Instituti GAP, të marra nga hulumtimi i tyre mbi </w:t>
      </w:r>
      <w:hyperlink r:id="rId1" w:history="1">
        <w:r w:rsidR="00EA0754" w:rsidRPr="00DF6A9B">
          <w:rPr>
            <w:rStyle w:val="Hyperlink"/>
            <w:rFonts w:ascii="RRGK Book" w:eastAsia="Arial" w:hAnsi="RRGK Book" w:cs="Tahoma"/>
            <w:lang w:val="sq-AL"/>
          </w:rPr>
          <w:t xml:space="preserve">Buxhetin e Përgjegjshëm Gjinor </w:t>
        </w:r>
        <w:r w:rsidR="00023CE1" w:rsidRPr="00DF6A9B">
          <w:rPr>
            <w:rStyle w:val="Hyperlink"/>
            <w:rFonts w:ascii="RRGK Book" w:eastAsia="Arial" w:hAnsi="RRGK Book" w:cs="Tahoma"/>
            <w:lang w:val="sq-AL"/>
          </w:rPr>
          <w:t>për</w:t>
        </w:r>
        <w:r w:rsidR="00EA0754" w:rsidRPr="00DF6A9B">
          <w:rPr>
            <w:rStyle w:val="Hyperlink"/>
            <w:rFonts w:ascii="RRGK Book" w:eastAsia="Arial" w:hAnsi="RRGK Book" w:cs="Tahoma"/>
            <w:lang w:val="sq-AL"/>
          </w:rPr>
          <w:t xml:space="preserve"> Komuna</w:t>
        </w:r>
      </w:hyperlink>
      <w:r w:rsidR="00EA0754" w:rsidRPr="00DF6A9B">
        <w:rPr>
          <w:rFonts w:ascii="RRGK Book" w:eastAsia="Arial" w:hAnsi="RRGK Book" w:cs="Tahoma"/>
          <w:lang w:val="sq-AL"/>
        </w:rPr>
        <w:t xml:space="preserve"> (maj 2023). Kjo përmbledhje</w:t>
      </w:r>
      <w:r w:rsidR="00023CE1" w:rsidRPr="00DF6A9B">
        <w:rPr>
          <w:rFonts w:ascii="RRGK Book" w:eastAsia="Arial" w:hAnsi="RRGK Book" w:cs="Tahoma"/>
          <w:lang w:val="sq-AL"/>
        </w:rPr>
        <w:t xml:space="preserve"> gjithashtu mbështetet nga</w:t>
      </w:r>
      <w:r w:rsidR="00EA0754" w:rsidRPr="00DF6A9B">
        <w:rPr>
          <w:rFonts w:ascii="RRGK Book" w:eastAsia="Arial" w:hAnsi="RRGK Book" w:cs="Tahoma"/>
          <w:lang w:val="sq-AL"/>
        </w:rPr>
        <w:t xml:space="preserve"> GIZ-i në Kosovë</w:t>
      </w:r>
      <w:r w:rsidR="00AA46A7" w:rsidRPr="00DF6A9B">
        <w:rPr>
          <w:rFonts w:ascii="RRGK Book" w:eastAsia="Arial" w:hAnsi="RRGK Book" w:cs="Tahoma"/>
          <w:lang w:val="sq-AL"/>
        </w:rPr>
        <w:t>.</w:t>
      </w:r>
      <w:r w:rsidR="00EA0754" w:rsidRPr="00DF6A9B">
        <w:rPr>
          <w:rFonts w:ascii="RRGK Book" w:eastAsia="Arial" w:hAnsi="RRGK Book" w:cs="Tahoma"/>
          <w:lang w:val="sq-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C408CB" w14:paraId="4C112C2E" w14:textId="77777777" w:rsidTr="44C408CB">
      <w:trPr>
        <w:trHeight w:val="300"/>
      </w:trPr>
      <w:tc>
        <w:tcPr>
          <w:tcW w:w="3005" w:type="dxa"/>
        </w:tcPr>
        <w:p w14:paraId="5CBC3B68" w14:textId="738355C6" w:rsidR="44C408CB" w:rsidRDefault="44C408CB" w:rsidP="44C408CB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47136AD0" w14:textId="5B8D42DE" w:rsidR="44C408CB" w:rsidRDefault="44C408CB" w:rsidP="44C408CB">
          <w:pPr>
            <w:pStyle w:val="Header"/>
            <w:jc w:val="center"/>
          </w:pPr>
        </w:p>
      </w:tc>
      <w:tc>
        <w:tcPr>
          <w:tcW w:w="3005" w:type="dxa"/>
        </w:tcPr>
        <w:p w14:paraId="59456F8C" w14:textId="3612466A" w:rsidR="44C408CB" w:rsidRDefault="44C408CB" w:rsidP="44C408CB">
          <w:pPr>
            <w:pStyle w:val="Header"/>
            <w:ind w:right="-115"/>
            <w:jc w:val="right"/>
          </w:pPr>
        </w:p>
      </w:tc>
    </w:tr>
  </w:tbl>
  <w:p w14:paraId="63DBC419" w14:textId="4A52E33F" w:rsidR="44C408CB" w:rsidRDefault="44C408CB" w:rsidP="44C40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9567" w14:textId="70EA00BA" w:rsidR="00613F09" w:rsidRDefault="00613F09" w:rsidP="00613F09">
    <w:pPr>
      <w:pStyle w:val="Header"/>
    </w:pPr>
    <w:r>
      <w:rPr>
        <w:noProof/>
        <w:sz w:val="56"/>
        <w:szCs w:val="60"/>
      </w:rPr>
      <w:drawing>
        <wp:anchor distT="0" distB="0" distL="114300" distR="114300" simplePos="0" relativeHeight="251658240" behindDoc="0" locked="0" layoutInCell="1" allowOverlap="1" wp14:anchorId="094AD2D2" wp14:editId="56B9138E">
          <wp:simplePos x="0" y="0"/>
          <wp:positionH relativeFrom="page">
            <wp:posOffset>830277</wp:posOffset>
          </wp:positionH>
          <wp:positionV relativeFrom="paragraph">
            <wp:posOffset>2540</wp:posOffset>
          </wp:positionV>
          <wp:extent cx="3136900" cy="597535"/>
          <wp:effectExtent l="0" t="0" r="6350" b="0"/>
          <wp:wrapThrough wrapText="bothSides">
            <wp:wrapPolygon edited="0">
              <wp:start x="918" y="0"/>
              <wp:lineTo x="0" y="3443"/>
              <wp:lineTo x="0" y="18593"/>
              <wp:lineTo x="918" y="20659"/>
              <wp:lineTo x="2755" y="20659"/>
              <wp:lineTo x="21513" y="17216"/>
              <wp:lineTo x="21513" y="13773"/>
              <wp:lineTo x="19020" y="11018"/>
              <wp:lineTo x="19414" y="5509"/>
              <wp:lineTo x="17840" y="4132"/>
              <wp:lineTo x="2886" y="0"/>
              <wp:lineTo x="918" y="0"/>
            </wp:wrapPolygon>
          </wp:wrapThrough>
          <wp:docPr id="138" name="Picture 138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EB439A3" wp14:editId="64E938E8">
          <wp:simplePos x="0" y="0"/>
          <wp:positionH relativeFrom="column">
            <wp:posOffset>3234055</wp:posOffset>
          </wp:positionH>
          <wp:positionV relativeFrom="paragraph">
            <wp:posOffset>33020</wp:posOffset>
          </wp:positionV>
          <wp:extent cx="2729865" cy="502285"/>
          <wp:effectExtent l="0" t="0" r="0" b="0"/>
          <wp:wrapTight wrapText="bothSides">
            <wp:wrapPolygon edited="0">
              <wp:start x="0" y="0"/>
              <wp:lineTo x="0" y="20480"/>
              <wp:lineTo x="21404" y="20480"/>
              <wp:lineTo x="21404" y="0"/>
              <wp:lineTo x="0" y="0"/>
            </wp:wrapPolygon>
          </wp:wrapTight>
          <wp:docPr id="1180757268" name="Picture 1180757268" descr="A group of orange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757268" name="Picture 1180757268" descr="A group of orange circl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8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D64610" w14:textId="77777777" w:rsidR="00613F09" w:rsidRDefault="00613F09" w:rsidP="00613F09">
    <w:pPr>
      <w:pStyle w:val="Header"/>
    </w:pPr>
  </w:p>
  <w:p w14:paraId="60D51AD8" w14:textId="77777777" w:rsidR="00613F09" w:rsidRPr="00613F09" w:rsidRDefault="00613F09" w:rsidP="00613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CBA6"/>
    <w:multiLevelType w:val="hybridMultilevel"/>
    <w:tmpl w:val="21E49214"/>
    <w:lvl w:ilvl="0" w:tplc="8460F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8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AC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65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2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A0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06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81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4D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FB30"/>
    <w:multiLevelType w:val="hybridMultilevel"/>
    <w:tmpl w:val="EEBEA1DE"/>
    <w:lvl w:ilvl="0" w:tplc="29202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05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84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C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E5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60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6C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2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84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949B"/>
    <w:multiLevelType w:val="hybridMultilevel"/>
    <w:tmpl w:val="2034D4AE"/>
    <w:lvl w:ilvl="0" w:tplc="CDAA6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67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2A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88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0C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EF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21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9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63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2AEB"/>
    <w:multiLevelType w:val="hybridMultilevel"/>
    <w:tmpl w:val="C52A58B8"/>
    <w:lvl w:ilvl="0" w:tplc="FC0AB2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6D09DC"/>
    <w:multiLevelType w:val="hybridMultilevel"/>
    <w:tmpl w:val="E0E40D96"/>
    <w:lvl w:ilvl="0" w:tplc="AD4CA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8B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E4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CC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6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29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5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5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CD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175610">
    <w:abstractNumId w:val="2"/>
  </w:num>
  <w:num w:numId="2" w16cid:durableId="173151438">
    <w:abstractNumId w:val="1"/>
  </w:num>
  <w:num w:numId="3" w16cid:durableId="1356343040">
    <w:abstractNumId w:val="4"/>
  </w:num>
  <w:num w:numId="4" w16cid:durableId="580063874">
    <w:abstractNumId w:val="0"/>
  </w:num>
  <w:num w:numId="5" w16cid:durableId="1802071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02DF9"/>
    <w:rsid w:val="00006605"/>
    <w:rsid w:val="00023CE1"/>
    <w:rsid w:val="00093231"/>
    <w:rsid w:val="00096F69"/>
    <w:rsid w:val="000F5F05"/>
    <w:rsid w:val="00104FA8"/>
    <w:rsid w:val="0011259F"/>
    <w:rsid w:val="00143BEF"/>
    <w:rsid w:val="00144E66"/>
    <w:rsid w:val="001C3A8F"/>
    <w:rsid w:val="001F3CCF"/>
    <w:rsid w:val="0024431B"/>
    <w:rsid w:val="00285630"/>
    <w:rsid w:val="00297B32"/>
    <w:rsid w:val="002B4707"/>
    <w:rsid w:val="00331C74"/>
    <w:rsid w:val="00395714"/>
    <w:rsid w:val="003C05EE"/>
    <w:rsid w:val="00423D1F"/>
    <w:rsid w:val="00426BBA"/>
    <w:rsid w:val="00444668"/>
    <w:rsid w:val="00445145"/>
    <w:rsid w:val="004A32FA"/>
    <w:rsid w:val="004D4E13"/>
    <w:rsid w:val="004F65EC"/>
    <w:rsid w:val="00536DB5"/>
    <w:rsid w:val="00570235"/>
    <w:rsid w:val="005835ED"/>
    <w:rsid w:val="005C6456"/>
    <w:rsid w:val="005D1004"/>
    <w:rsid w:val="005E60EA"/>
    <w:rsid w:val="00613F09"/>
    <w:rsid w:val="00613F96"/>
    <w:rsid w:val="00675A18"/>
    <w:rsid w:val="00686ABF"/>
    <w:rsid w:val="006977FC"/>
    <w:rsid w:val="006E6728"/>
    <w:rsid w:val="0070658E"/>
    <w:rsid w:val="007104DC"/>
    <w:rsid w:val="00711152"/>
    <w:rsid w:val="0071654E"/>
    <w:rsid w:val="007214EC"/>
    <w:rsid w:val="00773978"/>
    <w:rsid w:val="007F5A01"/>
    <w:rsid w:val="008055B3"/>
    <w:rsid w:val="008558F5"/>
    <w:rsid w:val="008B5E28"/>
    <w:rsid w:val="008B6F27"/>
    <w:rsid w:val="009667DD"/>
    <w:rsid w:val="00967C52"/>
    <w:rsid w:val="00977F59"/>
    <w:rsid w:val="00983F47"/>
    <w:rsid w:val="009E1D29"/>
    <w:rsid w:val="009F061E"/>
    <w:rsid w:val="00A14554"/>
    <w:rsid w:val="00A43417"/>
    <w:rsid w:val="00A52F92"/>
    <w:rsid w:val="00A81EB1"/>
    <w:rsid w:val="00AA46A7"/>
    <w:rsid w:val="00B02852"/>
    <w:rsid w:val="00B028C4"/>
    <w:rsid w:val="00B045B2"/>
    <w:rsid w:val="00B208F1"/>
    <w:rsid w:val="00B20B9D"/>
    <w:rsid w:val="00BA1B51"/>
    <w:rsid w:val="00BC19FF"/>
    <w:rsid w:val="00BE6B32"/>
    <w:rsid w:val="00C12F0F"/>
    <w:rsid w:val="00C1557D"/>
    <w:rsid w:val="00C40E34"/>
    <w:rsid w:val="00C4258F"/>
    <w:rsid w:val="00C839CC"/>
    <w:rsid w:val="00CA7FD7"/>
    <w:rsid w:val="00CB5624"/>
    <w:rsid w:val="00D46621"/>
    <w:rsid w:val="00D715B9"/>
    <w:rsid w:val="00D9693E"/>
    <w:rsid w:val="00DD2245"/>
    <w:rsid w:val="00DF2F82"/>
    <w:rsid w:val="00DF6A9B"/>
    <w:rsid w:val="00E2165B"/>
    <w:rsid w:val="00E2616E"/>
    <w:rsid w:val="00E413B8"/>
    <w:rsid w:val="00E45D1F"/>
    <w:rsid w:val="00E51000"/>
    <w:rsid w:val="00E821ED"/>
    <w:rsid w:val="00E97B58"/>
    <w:rsid w:val="00EA0754"/>
    <w:rsid w:val="00EE0F2A"/>
    <w:rsid w:val="00EF39DE"/>
    <w:rsid w:val="00F06A12"/>
    <w:rsid w:val="00F3653B"/>
    <w:rsid w:val="00F47645"/>
    <w:rsid w:val="00F6679E"/>
    <w:rsid w:val="00FD5604"/>
    <w:rsid w:val="00FE6628"/>
    <w:rsid w:val="08A777FA"/>
    <w:rsid w:val="1A302DF9"/>
    <w:rsid w:val="2AB97F0C"/>
    <w:rsid w:val="3ED8F489"/>
    <w:rsid w:val="44C408CB"/>
    <w:rsid w:val="465EF160"/>
    <w:rsid w:val="4DD3E784"/>
    <w:rsid w:val="52EDB157"/>
    <w:rsid w:val="58B4B29C"/>
    <w:rsid w:val="65653C03"/>
    <w:rsid w:val="71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02DF9"/>
  <w15:chartTrackingRefBased/>
  <w15:docId w15:val="{4D94EAC5-CE59-434E-A814-0DBB7DE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A8"/>
    <w:pPr>
      <w:spacing w:after="0" w:line="240" w:lineRule="auto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BEF"/>
    <w:pPr>
      <w:keepNext/>
      <w:keepLines/>
      <w:spacing w:before="240" w:after="120"/>
      <w:outlineLvl w:val="0"/>
    </w:pPr>
    <w:rPr>
      <w:rFonts w:eastAsia="RRGK Book" w:cs="Tahoma"/>
      <w:b/>
      <w:bCs/>
      <w:color w:val="000000" w:themeColor="text1"/>
      <w:sz w:val="28"/>
      <w:szCs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3BEF"/>
    <w:rPr>
      <w:rFonts w:ascii="Tahoma" w:eastAsia="RRGK Book" w:hAnsi="Tahoma" w:cs="Tahoma"/>
      <w:b/>
      <w:bCs/>
      <w:color w:val="000000" w:themeColor="text1"/>
      <w:sz w:val="28"/>
      <w:szCs w:val="28"/>
      <w:lang w:val="sq-AL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693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9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3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5ED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5ED"/>
    <w:rPr>
      <w:rFonts w:ascii="Tahoma" w:hAnsi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F27"/>
    <w:pPr>
      <w:ind w:left="720"/>
      <w:contextualSpacing/>
    </w:pPr>
    <w:rPr>
      <w:rFonts w:ascii="RRGK Book" w:eastAsiaTheme="minorHAnsi" w:hAnsi="RRGK Book"/>
    </w:rPr>
  </w:style>
  <w:style w:type="paragraph" w:styleId="Header">
    <w:name w:val="header"/>
    <w:basedOn w:val="Normal"/>
    <w:link w:val="HeaderChar"/>
    <w:uiPriority w:val="99"/>
    <w:unhideWhenUsed/>
    <w:rsid w:val="00855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F5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855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F5"/>
    <w:rPr>
      <w:rFonts w:ascii="Tahoma" w:hAnsi="Tahoma"/>
    </w:rPr>
  </w:style>
  <w:style w:type="paragraph" w:styleId="Revision">
    <w:name w:val="Revision"/>
    <w:hidden/>
    <w:uiPriority w:val="99"/>
    <w:semiHidden/>
    <w:rsid w:val="007F5A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A1B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k.rks-gov.net/ActDetail.aspx?ActID=10923" TargetMode="External"/><Relationship Id="rId13" Type="http://schemas.openxmlformats.org/officeDocument/2006/relationships/hyperlink" Target="https://masht.rks-gov.net/wp-content/uploads/2022/06/Programi-i-Qeverise-se-Kosoves-2021-2025.pdf" TargetMode="External"/><Relationship Id="rId18" Type="http://schemas.openxmlformats.org/officeDocument/2006/relationships/hyperlink" Target="https://womensnetwork.org/wp-content/uploads/2018/10/20161103153827479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sk.rks-gov.net/Releases/Details/66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fa.org/gender" TargetMode="External"/><Relationship Id="rId17" Type="http://schemas.openxmlformats.org/officeDocument/2006/relationships/hyperlink" Target="https://gender-financing.unwomen.org/en/highlights/sustainable-development-goal-indicator-5c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sh.rks-gov.net/Documents/DownloadDocument?fileName=Manuali%20p%C3%ABr%20Vler%C3%ABsimin%20e%20Ndikimit%20t%C3%AB%20Barazis%C3%AB%20Gjinore%2054012474.321.pdf" TargetMode="External"/><Relationship Id="rId20" Type="http://schemas.openxmlformats.org/officeDocument/2006/relationships/hyperlink" Target="https://womensnetwork.org/wp-content/uploads/2022/06/AL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fa.org/abou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nstitutigap.org/documents/81389_Gender-Responsive%20Budgeting%20in%20Municipalities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ender-financing.unwomen.org/en/highlights/sustainable-development-goal-indicator-5c1" TargetMode="External"/><Relationship Id="rId19" Type="http://schemas.openxmlformats.org/officeDocument/2006/relationships/hyperlink" Target="https://konsultimet.rks-gov.net/viewConsult.php?ConsultationID=41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kuvendikosoves.org/?cid=1,1133" TargetMode="External"/><Relationship Id="rId14" Type="http://schemas.openxmlformats.org/officeDocument/2006/relationships/hyperlink" Target="https://gzk.rks-gov.net/ActDetail.aspx?ActID=2524&amp;langid=2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titutigap.org/documents/81389_Gender-Responsive%20Budgeting%20in%20Municipalitie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005D-F3C8-49B4-A4C5-A7AD879A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Elirjeta Beka</dc:creator>
  <cp:keywords/>
  <dc:description/>
  <cp:lastModifiedBy>Albana Isufi - Jashanica</cp:lastModifiedBy>
  <cp:revision>2</cp:revision>
  <dcterms:created xsi:type="dcterms:W3CDTF">2023-10-11T08:40:00Z</dcterms:created>
  <dcterms:modified xsi:type="dcterms:W3CDTF">2023-10-11T08:40:00Z</dcterms:modified>
</cp:coreProperties>
</file>